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after="0"/>
        <w:ind w:firstLine="0" w:firstLineChars="0"/>
        <w:rPr>
          <w:color w:val="auto"/>
          <w:sz w:val="44"/>
          <w:szCs w:val="44"/>
        </w:rPr>
      </w:pPr>
    </w:p>
    <w:p>
      <w:pPr>
        <w:pStyle w:val="23"/>
        <w:spacing w:after="0"/>
        <w:ind w:firstLine="0" w:firstLineChars="0"/>
        <w:jc w:val="center"/>
        <w:rPr>
          <w:rFonts w:ascii="宋体" w:hAnsi="宋体" w:cs="宋体"/>
          <w:b/>
          <w:color w:val="auto"/>
          <w:kern w:val="2"/>
          <w:sz w:val="44"/>
          <w:szCs w:val="44"/>
        </w:rPr>
      </w:pPr>
      <w:r>
        <w:rPr>
          <w:rFonts w:hint="eastAsia" w:ascii="宋体" w:hAnsi="宋体" w:cs="宋体"/>
          <w:b/>
          <w:color w:val="auto"/>
          <w:kern w:val="2"/>
          <w:sz w:val="44"/>
          <w:szCs w:val="44"/>
        </w:rPr>
        <w:t>石家庄承宏工程建设有限公司</w:t>
      </w:r>
    </w:p>
    <w:p>
      <w:pPr>
        <w:spacing w:before="295"/>
        <w:ind w:left="871" w:right="871"/>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预储</w:t>
      </w:r>
      <w:r>
        <w:rPr>
          <w:rFonts w:hint="eastAsia" w:ascii="宋体" w:hAnsi="宋体" w:cs="宋体"/>
          <w:b/>
          <w:bCs/>
          <w:sz w:val="44"/>
          <w:szCs w:val="44"/>
        </w:rPr>
        <w:t>应急保温管及管件采购</w:t>
      </w:r>
      <w:r>
        <w:rPr>
          <w:rFonts w:hint="eastAsia" w:ascii="宋体" w:hAnsi="宋体" w:cs="宋体"/>
          <w:b/>
          <w:bCs/>
          <w:sz w:val="44"/>
          <w:szCs w:val="44"/>
          <w:lang w:eastAsia="zh-CN"/>
        </w:rPr>
        <w:t>项目（第一批）</w:t>
      </w:r>
    </w:p>
    <w:p>
      <w:pPr>
        <w:pStyle w:val="2"/>
        <w:spacing w:after="0" w:line="360" w:lineRule="auto"/>
        <w:jc w:val="center"/>
        <w:rPr>
          <w:rFonts w:ascii="黑体" w:hAnsi="黑体" w:eastAsia="黑体" w:cs="宋体"/>
          <w:b/>
          <w:bCs/>
          <w:snapToGrid w:val="0"/>
          <w:kern w:val="0"/>
          <w:sz w:val="40"/>
          <w:szCs w:val="40"/>
        </w:rPr>
      </w:pPr>
    </w:p>
    <w:p>
      <w:pPr>
        <w:pStyle w:val="2"/>
        <w:spacing w:after="0" w:line="360" w:lineRule="auto"/>
        <w:jc w:val="center"/>
        <w:rPr>
          <w:rFonts w:ascii="黑体" w:hAnsi="黑体" w:eastAsia="黑体" w:cs="宋体"/>
          <w:b/>
          <w:bCs/>
          <w:snapToGrid w:val="0"/>
          <w:kern w:val="0"/>
          <w:sz w:val="40"/>
          <w:szCs w:val="40"/>
        </w:rPr>
      </w:pPr>
    </w:p>
    <w:p>
      <w:pPr>
        <w:pStyle w:val="2"/>
        <w:spacing w:after="0" w:line="360" w:lineRule="auto"/>
        <w:jc w:val="center"/>
        <w:rPr>
          <w:rFonts w:ascii="黑体" w:hAnsi="黑体" w:eastAsia="黑体" w:cs="宋体"/>
          <w:snapToGrid w:val="0"/>
          <w:kern w:val="0"/>
          <w:sz w:val="36"/>
          <w:szCs w:val="36"/>
        </w:rPr>
      </w:pPr>
    </w:p>
    <w:p>
      <w:pPr>
        <w:pStyle w:val="2"/>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pPr>
        <w:pStyle w:val="2"/>
        <w:spacing w:after="0" w:line="360" w:lineRule="auto"/>
        <w:jc w:val="center"/>
        <w:rPr>
          <w:rFonts w:ascii="黑体" w:hAnsi="黑体" w:eastAsia="黑体" w:cs="宋体"/>
          <w:snapToGrid w:val="0"/>
          <w:kern w:val="0"/>
          <w:sz w:val="36"/>
          <w:szCs w:val="36"/>
        </w:rPr>
      </w:pPr>
    </w:p>
    <w:p>
      <w:pPr>
        <w:pStyle w:val="23"/>
        <w:spacing w:after="0"/>
        <w:ind w:firstLine="241"/>
        <w:rPr>
          <w:rFonts w:ascii="Tahoma" w:hAnsi="Tahoma"/>
          <w:b/>
          <w:sz w:val="24"/>
        </w:rPr>
      </w:pPr>
    </w:p>
    <w:p>
      <w:pPr>
        <w:widowControl/>
        <w:spacing w:line="360" w:lineRule="auto"/>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rPr>
          <w:rFonts w:ascii="宋体" w:cs="宋体"/>
          <w:b/>
          <w:kern w:val="0"/>
          <w:sz w:val="36"/>
          <w:szCs w:val="36"/>
        </w:rPr>
      </w:pPr>
    </w:p>
    <w:p>
      <w:pPr>
        <w:widowControl/>
        <w:spacing w:line="360" w:lineRule="auto"/>
        <w:jc w:val="center"/>
        <w:rPr>
          <w:rFonts w:ascii="宋体" w:cs="宋体"/>
          <w:b/>
          <w:kern w:val="0"/>
          <w:sz w:val="36"/>
          <w:szCs w:val="36"/>
        </w:rPr>
      </w:pPr>
      <w:r>
        <w:rPr>
          <w:rFonts w:hint="eastAsia" w:ascii="宋体" w:cs="宋体"/>
          <w:b/>
          <w:kern w:val="0"/>
          <w:sz w:val="36"/>
          <w:szCs w:val="36"/>
        </w:rPr>
        <w:t>发布人：石家庄承宏工程建设有限公司</w:t>
      </w:r>
    </w:p>
    <w:p>
      <w:pPr>
        <w:widowControl/>
        <w:spacing w:line="360" w:lineRule="auto"/>
        <w:ind w:firstLine="361" w:firstLineChars="100"/>
        <w:jc w:val="center"/>
        <w:rPr>
          <w:rFonts w:ascii="宋体" w:cs="宋体"/>
          <w:b/>
          <w:kern w:val="0"/>
          <w:sz w:val="36"/>
          <w:szCs w:val="36"/>
        </w:rPr>
      </w:pPr>
    </w:p>
    <w:p>
      <w:pPr>
        <w:widowControl/>
        <w:spacing w:line="360" w:lineRule="auto"/>
        <w:jc w:val="center"/>
        <w:rPr>
          <w:rFonts w:ascii="宋体" w:cs="宋体"/>
          <w:b/>
          <w:kern w:val="0"/>
          <w:sz w:val="30"/>
          <w:szCs w:val="30"/>
        </w:rPr>
      </w:pPr>
      <w:r>
        <w:rPr>
          <w:rFonts w:hint="eastAsia" w:ascii="宋体" w:cs="宋体"/>
          <w:b/>
          <w:kern w:val="0"/>
          <w:sz w:val="36"/>
          <w:szCs w:val="36"/>
        </w:rPr>
        <w:t>2023年</w:t>
      </w:r>
      <w:r>
        <w:rPr>
          <w:rFonts w:hint="eastAsia" w:ascii="宋体" w:cs="宋体"/>
          <w:b/>
          <w:kern w:val="0"/>
          <w:sz w:val="36"/>
          <w:szCs w:val="36"/>
          <w:lang w:val="en-US" w:eastAsia="zh-CN"/>
        </w:rPr>
        <w:t>7</w:t>
      </w:r>
      <w:r>
        <w:rPr>
          <w:rFonts w:hint="eastAsia" w:ascii="宋体" w:cs="宋体"/>
          <w:b/>
          <w:kern w:val="0"/>
          <w:sz w:val="36"/>
          <w:szCs w:val="36"/>
        </w:rPr>
        <w:t>月</w:t>
      </w:r>
    </w:p>
    <w:p>
      <w:pPr>
        <w:spacing w:line="360" w:lineRule="auto"/>
        <w:rPr>
          <w:sz w:val="30"/>
          <w:szCs w:val="30"/>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start="1"/>
          <w:cols w:space="720" w:num="1"/>
          <w:titlePg/>
          <w:docGrid w:linePitch="286" w:charSpace="0"/>
        </w:sectPr>
      </w:pPr>
    </w:p>
    <w:p/>
    <w:p>
      <w:pPr>
        <w:jc w:val="center"/>
        <w:outlineLvl w:val="0"/>
        <w:rPr>
          <w:rFonts w:ascii="宋体" w:cs="宋体"/>
          <w:kern w:val="0"/>
          <w:sz w:val="36"/>
          <w:szCs w:val="36"/>
        </w:rPr>
      </w:pPr>
      <w:bookmarkStart w:id="0" w:name="_Toc15937"/>
      <w:bookmarkStart w:id="1" w:name="_Toc9252"/>
      <w:bookmarkStart w:id="2" w:name="_Toc29917"/>
      <w:bookmarkStart w:id="3" w:name="_Toc7028"/>
      <w:bookmarkStart w:id="4" w:name="_Toc9360"/>
      <w:bookmarkStart w:id="5" w:name="_Toc27485"/>
      <w:bookmarkStart w:id="6" w:name="_Toc1893"/>
      <w:bookmarkStart w:id="7" w:name="_Toc16820"/>
      <w:bookmarkStart w:id="8" w:name="_Toc475527101"/>
      <w:r>
        <w:rPr>
          <w:rFonts w:hint="eastAsia" w:ascii="宋体" w:cs="宋体"/>
          <w:kern w:val="0"/>
          <w:sz w:val="36"/>
          <w:szCs w:val="36"/>
        </w:rPr>
        <w:t>目  录</w:t>
      </w:r>
      <w:bookmarkEnd w:id="0"/>
      <w:bookmarkEnd w:id="1"/>
      <w:bookmarkEnd w:id="2"/>
      <w:bookmarkEnd w:id="3"/>
      <w:bookmarkEnd w:id="4"/>
      <w:bookmarkEnd w:id="5"/>
      <w:bookmarkEnd w:id="6"/>
      <w:bookmarkEnd w:id="7"/>
    </w:p>
    <w:p>
      <w:pPr>
        <w:pStyle w:val="2"/>
        <w:rPr>
          <w:sz w:val="40"/>
        </w:rPr>
      </w:pPr>
    </w:p>
    <w:p>
      <w:pPr>
        <w:pStyle w:val="2"/>
        <w:ind w:firstLine="960" w:firstLineChars="300"/>
        <w:rPr>
          <w:sz w:val="32"/>
        </w:rPr>
      </w:pPr>
      <w:r>
        <w:rPr>
          <w:rFonts w:hint="eastAsia"/>
          <w:sz w:val="32"/>
        </w:rPr>
        <w:t>第一章   比选公告</w:t>
      </w:r>
    </w:p>
    <w:p>
      <w:pPr>
        <w:pStyle w:val="2"/>
        <w:ind w:firstLine="960" w:firstLineChars="300"/>
        <w:rPr>
          <w:sz w:val="32"/>
        </w:rPr>
      </w:pPr>
      <w:r>
        <w:rPr>
          <w:rFonts w:hint="eastAsia"/>
          <w:sz w:val="32"/>
        </w:rPr>
        <w:t>第二章   参选人须知</w:t>
      </w:r>
    </w:p>
    <w:p>
      <w:pPr>
        <w:pStyle w:val="2"/>
        <w:ind w:firstLine="960" w:firstLineChars="300"/>
        <w:rPr>
          <w:sz w:val="32"/>
        </w:rPr>
      </w:pPr>
      <w:r>
        <w:rPr>
          <w:rFonts w:hint="eastAsia"/>
          <w:sz w:val="32"/>
        </w:rPr>
        <w:t>第三章   评审办法</w:t>
      </w:r>
    </w:p>
    <w:p>
      <w:pPr>
        <w:pStyle w:val="2"/>
        <w:ind w:firstLine="960" w:firstLineChars="300"/>
        <w:rPr>
          <w:sz w:val="32"/>
        </w:rPr>
      </w:pPr>
      <w:r>
        <w:rPr>
          <w:rFonts w:hint="eastAsia"/>
          <w:sz w:val="32"/>
        </w:rPr>
        <w:t>第四章   参选人要求</w:t>
      </w:r>
    </w:p>
    <w:p>
      <w:pPr>
        <w:pStyle w:val="2"/>
        <w:ind w:firstLine="960" w:firstLineChars="300"/>
        <w:rPr>
          <w:rFonts w:ascii="宋体" w:cs="宋体"/>
          <w:kern w:val="0"/>
          <w:sz w:val="36"/>
          <w:szCs w:val="36"/>
        </w:rPr>
      </w:pPr>
      <w:r>
        <w:rPr>
          <w:rFonts w:hint="eastAsia"/>
          <w:sz w:val="32"/>
        </w:rPr>
        <w:t>第五章   响应文件格式及开标程序</w:t>
      </w:r>
    </w:p>
    <w:p>
      <w:pPr>
        <w:spacing w:line="360" w:lineRule="auto"/>
        <w:jc w:val="center"/>
        <w:outlineLvl w:val="1"/>
        <w:rPr>
          <w:rFonts w:ascii="宋体" w:cs="宋体"/>
          <w:snapToGrid w:val="0"/>
          <w:kern w:val="0"/>
          <w:sz w:val="44"/>
          <w:szCs w:val="44"/>
        </w:rPr>
        <w:sectPr>
          <w:footerReference r:id="rId8" w:type="first"/>
          <w:footerReference r:id="rId7" w:type="default"/>
          <w:pgSz w:w="11907" w:h="16840"/>
          <w:pgMar w:top="1440" w:right="1710" w:bottom="1440" w:left="1797" w:header="720" w:footer="1134" w:gutter="0"/>
          <w:pgBorders>
            <w:top w:val="none" w:sz="0" w:space="0"/>
            <w:left w:val="none" w:sz="0" w:space="0"/>
            <w:bottom w:val="none" w:sz="0" w:space="0"/>
            <w:right w:val="none" w:sz="0" w:space="0"/>
          </w:pgBorders>
          <w:pgNumType w:start="1"/>
          <w:cols w:space="720" w:num="1"/>
          <w:titlePg/>
          <w:docGrid w:linePitch="286" w:charSpace="0"/>
        </w:sectPr>
      </w:pPr>
      <w:bookmarkStart w:id="9" w:name="_Toc22158"/>
      <w:bookmarkStart w:id="10" w:name="_Toc5590"/>
      <w:bookmarkStart w:id="11" w:name="_Toc32485"/>
      <w:bookmarkStart w:id="12" w:name="_Toc31970"/>
      <w:bookmarkStart w:id="13" w:name="_Toc4306"/>
      <w:bookmarkStart w:id="14" w:name="_Toc6474"/>
      <w:bookmarkStart w:id="15" w:name="_Toc21967"/>
      <w:bookmarkStart w:id="16" w:name="_Toc61"/>
      <w:bookmarkStart w:id="17" w:name="_Toc22844"/>
      <w:bookmarkStart w:id="18" w:name="_Toc16765"/>
    </w:p>
    <w:p>
      <w:pPr>
        <w:spacing w:line="720" w:lineRule="auto"/>
        <w:jc w:val="center"/>
        <w:outlineLvl w:val="1"/>
        <w:rPr>
          <w:rFonts w:hint="eastAsia" w:ascii="宋体" w:cs="宋体"/>
          <w:b/>
          <w:bCs/>
          <w:snapToGrid w:val="0"/>
          <w:kern w:val="0"/>
          <w:sz w:val="44"/>
          <w:szCs w:val="44"/>
        </w:rPr>
      </w:pPr>
      <w:r>
        <w:rPr>
          <w:rFonts w:hint="eastAsia" w:ascii="宋体" w:cs="宋体"/>
          <w:b/>
          <w:bCs/>
          <w:snapToGrid w:val="0"/>
          <w:kern w:val="0"/>
          <w:sz w:val="44"/>
          <w:szCs w:val="44"/>
        </w:rPr>
        <w:t>第一章</w:t>
      </w:r>
      <w:bookmarkEnd w:id="8"/>
      <w:bookmarkEnd w:id="9"/>
      <w:bookmarkEnd w:id="10"/>
      <w:bookmarkEnd w:id="11"/>
      <w:bookmarkEnd w:id="12"/>
      <w:bookmarkEnd w:id="13"/>
      <w:bookmarkEnd w:id="14"/>
      <w:bookmarkEnd w:id="15"/>
      <w:bookmarkEnd w:id="16"/>
      <w:bookmarkEnd w:id="17"/>
      <w:bookmarkEnd w:id="18"/>
      <w:r>
        <w:rPr>
          <w:rFonts w:hint="eastAsia" w:ascii="宋体" w:cs="宋体"/>
          <w:b/>
          <w:bCs/>
          <w:snapToGrid w:val="0"/>
          <w:kern w:val="0"/>
          <w:sz w:val="44"/>
          <w:szCs w:val="44"/>
        </w:rPr>
        <w:t xml:space="preserve"> 比选公告</w:t>
      </w:r>
    </w:p>
    <w:p>
      <w:pPr>
        <w:pStyle w:val="23"/>
        <w:spacing w:after="0"/>
        <w:ind w:firstLine="0" w:firstLineChars="0"/>
        <w:jc w:val="center"/>
        <w:rPr>
          <w:rFonts w:ascii="宋体" w:hAnsi="宋体" w:cs="宋体"/>
          <w:b/>
          <w:color w:val="auto"/>
          <w:kern w:val="2"/>
          <w:sz w:val="32"/>
          <w:szCs w:val="32"/>
        </w:rPr>
      </w:pPr>
      <w:r>
        <w:rPr>
          <w:rFonts w:hint="eastAsia" w:ascii="宋体" w:hAnsi="宋体" w:cs="宋体"/>
          <w:b/>
          <w:color w:val="auto"/>
          <w:kern w:val="2"/>
          <w:sz w:val="32"/>
          <w:szCs w:val="32"/>
        </w:rPr>
        <w:t>石家庄承宏工程建设有限公司</w:t>
      </w:r>
    </w:p>
    <w:p>
      <w:pPr>
        <w:pStyle w:val="23"/>
        <w:spacing w:after="0"/>
        <w:ind w:firstLine="0" w:firstLineChars="0"/>
        <w:jc w:val="center"/>
        <w:rPr>
          <w:rFonts w:hint="eastAsia" w:ascii="宋体" w:hAnsi="宋体" w:eastAsia="宋体" w:cs="宋体"/>
          <w:b/>
          <w:sz w:val="32"/>
          <w:szCs w:val="32"/>
          <w:lang w:eastAsia="zh-CN"/>
        </w:rPr>
      </w:pPr>
      <w:r>
        <w:rPr>
          <w:rFonts w:hint="eastAsia" w:ascii="宋体" w:hAnsi="宋体" w:cs="宋体"/>
          <w:b/>
          <w:sz w:val="32"/>
          <w:szCs w:val="32"/>
          <w:lang w:eastAsia="zh-CN"/>
        </w:rPr>
        <w:t>预储</w:t>
      </w:r>
      <w:r>
        <w:rPr>
          <w:rFonts w:hint="eastAsia" w:ascii="宋体" w:hAnsi="宋体" w:cs="宋体"/>
          <w:b/>
          <w:sz w:val="32"/>
          <w:szCs w:val="32"/>
        </w:rPr>
        <w:t>应急保温管及管件采购</w:t>
      </w:r>
      <w:r>
        <w:rPr>
          <w:rFonts w:hint="eastAsia" w:ascii="宋体" w:hAnsi="宋体" w:cs="宋体"/>
          <w:b/>
          <w:sz w:val="32"/>
          <w:szCs w:val="32"/>
          <w:lang w:eastAsia="zh-CN"/>
        </w:rPr>
        <w:t>项目（第一批）</w:t>
      </w:r>
    </w:p>
    <w:p>
      <w:pPr>
        <w:pStyle w:val="32"/>
      </w:pPr>
    </w:p>
    <w:p>
      <w:pPr>
        <w:widowControl/>
        <w:spacing w:line="360" w:lineRule="auto"/>
        <w:ind w:right="-307" w:rightChars="-146"/>
        <w:jc w:val="left"/>
        <w:rPr>
          <w:rFonts w:ascii="宋体" w:cs="宋体"/>
          <w:b/>
          <w:bCs/>
          <w:kern w:val="0"/>
          <w:sz w:val="24"/>
        </w:rPr>
      </w:pPr>
      <w:r>
        <w:rPr>
          <w:rFonts w:hint="eastAsia" w:ascii="宋体" w:cs="宋体"/>
          <w:b/>
          <w:bCs/>
          <w:kern w:val="0"/>
          <w:sz w:val="24"/>
        </w:rPr>
        <w:t>1.项目名称及比选内容</w:t>
      </w:r>
    </w:p>
    <w:p>
      <w:pPr>
        <w:widowControl/>
        <w:spacing w:line="360" w:lineRule="auto"/>
        <w:ind w:left="-2" w:leftChars="-1" w:right="-307" w:rightChars="-146" w:firstLine="480" w:firstLineChars="200"/>
        <w:jc w:val="left"/>
        <w:rPr>
          <w:rFonts w:hint="eastAsia" w:cs="微软雅黑"/>
          <w:sz w:val="24"/>
        </w:rPr>
      </w:pPr>
      <w:r>
        <w:rPr>
          <w:rFonts w:hint="eastAsia" w:cs="微软雅黑"/>
          <w:sz w:val="24"/>
        </w:rPr>
        <w:t>项目名称：石家庄承宏工程建设有限公司</w:t>
      </w:r>
      <w:r>
        <w:rPr>
          <w:rFonts w:hint="eastAsia" w:cs="微软雅黑"/>
          <w:sz w:val="24"/>
          <w:lang w:eastAsia="zh-CN"/>
        </w:rPr>
        <w:t>预储</w:t>
      </w:r>
      <w:r>
        <w:rPr>
          <w:rFonts w:hint="eastAsia" w:cs="微软雅黑"/>
          <w:sz w:val="24"/>
        </w:rPr>
        <w:t>应急保温管及管件采购</w:t>
      </w:r>
      <w:r>
        <w:rPr>
          <w:rFonts w:hint="eastAsia" w:cs="微软雅黑"/>
          <w:sz w:val="24"/>
          <w:lang w:eastAsia="zh-CN"/>
        </w:rPr>
        <w:t>项目（第一批）</w:t>
      </w:r>
    </w:p>
    <w:p>
      <w:pPr>
        <w:widowControl/>
        <w:spacing w:line="360" w:lineRule="auto"/>
        <w:ind w:left="-2" w:leftChars="-1" w:right="-307" w:rightChars="-146" w:firstLine="480" w:firstLineChars="200"/>
        <w:jc w:val="left"/>
        <w:rPr>
          <w:rFonts w:cs="微软雅黑"/>
          <w:sz w:val="24"/>
        </w:rPr>
      </w:pPr>
      <w:r>
        <w:rPr>
          <w:rFonts w:hint="eastAsia" w:cs="微软雅黑"/>
          <w:sz w:val="24"/>
        </w:rPr>
        <w:t>比选内容：石家庄承宏工程建设有限公司通过招标方式产生保温管及管件供应单位，甲方不保证完全按照招标数量进行采购，具体结算数量以项目双方认可的合格数量为准。</w:t>
      </w:r>
    </w:p>
    <w:p>
      <w:pPr>
        <w:widowControl/>
        <w:spacing w:line="360" w:lineRule="auto"/>
        <w:ind w:right="-307" w:rightChars="-146"/>
        <w:jc w:val="left"/>
        <w:rPr>
          <w:rFonts w:ascii="宋体" w:cs="宋体"/>
          <w:b/>
          <w:bCs/>
          <w:kern w:val="0"/>
          <w:sz w:val="24"/>
        </w:rPr>
      </w:pPr>
      <w:r>
        <w:rPr>
          <w:rFonts w:hint="eastAsia" w:ascii="宋体" w:cs="宋体"/>
          <w:b/>
          <w:bCs/>
          <w:kern w:val="0"/>
          <w:sz w:val="24"/>
        </w:rPr>
        <w:t>2.资格要求</w:t>
      </w:r>
    </w:p>
    <w:p>
      <w:pPr>
        <w:widowControl/>
        <w:spacing w:line="360" w:lineRule="auto"/>
        <w:ind w:left="-2" w:leftChars="-1" w:right="-307" w:rightChars="-146" w:firstLine="480" w:firstLineChars="200"/>
        <w:jc w:val="left"/>
        <w:rPr>
          <w:rFonts w:ascii="宋体" w:cs="宋体"/>
          <w:kern w:val="0"/>
          <w:sz w:val="24"/>
        </w:rPr>
      </w:pPr>
      <w:r>
        <w:rPr>
          <w:rFonts w:hint="eastAsia" w:ascii="宋体" w:cs="宋体"/>
          <w:kern w:val="0"/>
          <w:sz w:val="24"/>
        </w:rPr>
        <w:t>（1）具有</w:t>
      </w:r>
      <w:r>
        <w:rPr>
          <w:rFonts w:hint="eastAsia" w:cs="微软雅黑"/>
          <w:sz w:val="24"/>
        </w:rPr>
        <w:t>独立法人资格和</w:t>
      </w:r>
      <w:r>
        <w:rPr>
          <w:rFonts w:hint="eastAsia" w:ascii="宋体" w:cs="宋体"/>
          <w:kern w:val="0"/>
          <w:sz w:val="24"/>
        </w:rPr>
        <w:t>有效的营业执照、</w:t>
      </w:r>
      <w:r>
        <w:rPr>
          <w:rFonts w:hint="eastAsia" w:cs="微软雅黑"/>
          <w:sz w:val="24"/>
        </w:rPr>
        <w:t>安全生产许可证，具有相应工程材料的供应能力，且在人员、设备、资金等方面具有相应的履约能力；</w:t>
      </w:r>
    </w:p>
    <w:p>
      <w:pPr>
        <w:widowControl/>
        <w:spacing w:line="360" w:lineRule="auto"/>
        <w:ind w:left="-2" w:leftChars="-1" w:right="-307" w:rightChars="-146" w:firstLine="480" w:firstLineChars="200"/>
        <w:jc w:val="left"/>
        <w:rPr>
          <w:rFonts w:ascii="宋体" w:cs="宋体"/>
          <w:kern w:val="0"/>
          <w:sz w:val="24"/>
        </w:rPr>
      </w:pPr>
      <w:r>
        <w:rPr>
          <w:rFonts w:hint="eastAsia" w:ascii="宋体" w:cs="宋体"/>
          <w:kern w:val="0"/>
          <w:sz w:val="24"/>
        </w:rPr>
        <w:t>（2）未被 “信用中国”网站列入失信被执行人名单；</w:t>
      </w:r>
    </w:p>
    <w:p>
      <w:pPr>
        <w:widowControl/>
        <w:spacing w:line="360" w:lineRule="auto"/>
        <w:ind w:left="-2" w:leftChars="-1" w:right="-307" w:rightChars="-146" w:firstLine="480" w:firstLineChars="200"/>
        <w:jc w:val="left"/>
        <w:rPr>
          <w:rFonts w:ascii="宋体" w:cs="宋体"/>
          <w:kern w:val="0"/>
          <w:sz w:val="24"/>
        </w:rPr>
      </w:pPr>
      <w:r>
        <w:rPr>
          <w:rFonts w:hint="eastAsia" w:ascii="宋体" w:cs="宋体"/>
          <w:kern w:val="0"/>
          <w:sz w:val="24"/>
        </w:rPr>
        <w:t>（3）单位负责人为同一人或者存在控股、管理关系的不同单位，不得同时参加本次投标；</w:t>
      </w:r>
    </w:p>
    <w:p>
      <w:pPr>
        <w:widowControl/>
        <w:spacing w:line="360" w:lineRule="auto"/>
        <w:ind w:left="-2" w:leftChars="-1" w:right="-307" w:rightChars="-146" w:firstLine="480" w:firstLineChars="200"/>
        <w:jc w:val="left"/>
        <w:rPr>
          <w:rFonts w:ascii="宋体" w:cs="宋体"/>
          <w:color w:val="auto"/>
          <w:kern w:val="0"/>
          <w:sz w:val="24"/>
        </w:rPr>
      </w:pPr>
      <w:r>
        <w:rPr>
          <w:rFonts w:hint="eastAsia" w:ascii="宋体" w:cs="宋体"/>
          <w:kern w:val="0"/>
          <w:sz w:val="24"/>
        </w:rPr>
        <w:t>（4）本次比选</w:t>
      </w:r>
      <w:r>
        <w:rPr>
          <w:rFonts w:hint="eastAsia" w:ascii="宋体" w:cs="宋体"/>
          <w:color w:val="auto"/>
          <w:kern w:val="0"/>
          <w:sz w:val="24"/>
        </w:rPr>
        <w:t>不接受联合体。</w:t>
      </w:r>
    </w:p>
    <w:p>
      <w:pPr>
        <w:widowControl/>
        <w:spacing w:line="360" w:lineRule="auto"/>
        <w:ind w:right="-307" w:rightChars="-146"/>
        <w:jc w:val="left"/>
        <w:rPr>
          <w:rFonts w:ascii="宋体" w:cs="宋体"/>
          <w:b/>
          <w:bCs/>
          <w:color w:val="auto"/>
          <w:kern w:val="0"/>
          <w:sz w:val="24"/>
        </w:rPr>
      </w:pPr>
      <w:r>
        <w:rPr>
          <w:rFonts w:hint="eastAsia" w:ascii="宋体" w:cs="宋体"/>
          <w:b/>
          <w:bCs/>
          <w:color w:val="auto"/>
          <w:kern w:val="0"/>
          <w:sz w:val="24"/>
        </w:rPr>
        <w:t>3.比选时间</w:t>
      </w:r>
    </w:p>
    <w:p>
      <w:pPr>
        <w:ind w:firstLine="480" w:firstLineChars="200"/>
        <w:rPr>
          <w:color w:val="auto"/>
        </w:rPr>
      </w:pPr>
      <w:r>
        <w:rPr>
          <w:rFonts w:hint="eastAsia" w:ascii="宋体" w:cs="宋体"/>
          <w:color w:val="auto"/>
          <w:kern w:val="0"/>
          <w:sz w:val="24"/>
        </w:rPr>
        <w:t>本此比选时间为</w:t>
      </w:r>
      <w:r>
        <w:rPr>
          <w:rFonts w:hint="eastAsia" w:ascii="宋体" w:cs="宋体"/>
          <w:color w:val="auto"/>
          <w:kern w:val="0"/>
          <w:sz w:val="24"/>
          <w:u w:val="single"/>
        </w:rPr>
        <w:t>202</w:t>
      </w:r>
      <w:r>
        <w:rPr>
          <w:rFonts w:hint="eastAsia" w:ascii="宋体" w:cs="宋体"/>
          <w:b w:val="0"/>
          <w:bCs w:val="0"/>
          <w:color w:val="auto"/>
          <w:kern w:val="0"/>
          <w:sz w:val="24"/>
          <w:u w:val="single"/>
        </w:rPr>
        <w:t>3</w:t>
      </w:r>
      <w:r>
        <w:rPr>
          <w:rFonts w:hint="eastAsia" w:ascii="宋体" w:cs="宋体"/>
          <w:b w:val="0"/>
          <w:bCs w:val="0"/>
          <w:color w:val="auto"/>
          <w:kern w:val="0"/>
          <w:sz w:val="24"/>
        </w:rPr>
        <w:t>年</w:t>
      </w:r>
      <w:r>
        <w:rPr>
          <w:rFonts w:hint="eastAsia" w:ascii="宋体" w:cs="宋体"/>
          <w:b w:val="0"/>
          <w:bCs w:val="0"/>
          <w:color w:val="auto"/>
          <w:kern w:val="0"/>
          <w:sz w:val="24"/>
          <w:u w:val="single"/>
          <w:lang w:val="en-US" w:eastAsia="zh-CN"/>
        </w:rPr>
        <w:t>7</w:t>
      </w:r>
      <w:r>
        <w:rPr>
          <w:rFonts w:hint="eastAsia" w:ascii="宋体" w:cs="宋体"/>
          <w:b w:val="0"/>
          <w:bCs w:val="0"/>
          <w:color w:val="auto"/>
          <w:kern w:val="0"/>
          <w:sz w:val="24"/>
        </w:rPr>
        <w:t>月</w:t>
      </w:r>
      <w:r>
        <w:rPr>
          <w:rFonts w:hint="eastAsia" w:ascii="宋体" w:cs="宋体"/>
          <w:color w:val="auto"/>
          <w:kern w:val="0"/>
          <w:sz w:val="24"/>
          <w:u w:val="single"/>
          <w:lang w:val="en-US" w:eastAsia="zh-CN"/>
        </w:rPr>
        <w:t>11</w:t>
      </w:r>
      <w:r>
        <w:rPr>
          <w:rFonts w:hint="eastAsia" w:ascii="宋体" w:cs="宋体"/>
          <w:color w:val="auto"/>
          <w:kern w:val="0"/>
          <w:sz w:val="24"/>
        </w:rPr>
        <w:t>日9:00至</w:t>
      </w:r>
      <w:r>
        <w:rPr>
          <w:rFonts w:hint="eastAsia" w:ascii="宋体" w:cs="宋体"/>
          <w:color w:val="auto"/>
          <w:kern w:val="0"/>
          <w:sz w:val="24"/>
          <w:u w:val="single"/>
        </w:rPr>
        <w:t>2023</w:t>
      </w:r>
      <w:r>
        <w:rPr>
          <w:rFonts w:hint="eastAsia" w:ascii="宋体" w:cs="宋体"/>
          <w:color w:val="auto"/>
          <w:kern w:val="0"/>
          <w:sz w:val="24"/>
        </w:rPr>
        <w:t>年</w:t>
      </w:r>
      <w:r>
        <w:rPr>
          <w:rFonts w:hint="eastAsia" w:ascii="宋体" w:cs="宋体"/>
          <w:color w:val="auto"/>
          <w:kern w:val="0"/>
          <w:sz w:val="24"/>
          <w:u w:val="single"/>
        </w:rPr>
        <w:t>7</w:t>
      </w:r>
      <w:r>
        <w:rPr>
          <w:rFonts w:hint="eastAsia" w:ascii="宋体" w:cs="宋体"/>
          <w:color w:val="auto"/>
          <w:kern w:val="0"/>
          <w:sz w:val="24"/>
        </w:rPr>
        <w:t>月</w:t>
      </w:r>
      <w:r>
        <w:rPr>
          <w:rFonts w:hint="eastAsia" w:ascii="宋体" w:cs="宋体"/>
          <w:color w:val="auto"/>
          <w:kern w:val="0"/>
          <w:sz w:val="24"/>
          <w:u w:val="single"/>
          <w:lang w:val="en-US" w:eastAsia="zh-CN"/>
        </w:rPr>
        <w:t>15</w:t>
      </w:r>
      <w:r>
        <w:rPr>
          <w:rFonts w:hint="eastAsia" w:ascii="宋体" w:eastAsia="宋体" w:cs="宋体"/>
          <w:color w:val="auto"/>
          <w:kern w:val="0"/>
          <w:sz w:val="24"/>
          <w:lang w:val="en-US" w:eastAsia="zh-CN"/>
        </w:rPr>
        <w:t>日</w:t>
      </w:r>
      <w:r>
        <w:rPr>
          <w:rFonts w:hint="eastAsia" w:ascii="宋体" w:cs="宋体"/>
          <w:b w:val="0"/>
          <w:bCs w:val="0"/>
          <w:color w:val="auto"/>
          <w:kern w:val="0"/>
          <w:sz w:val="24"/>
          <w:lang w:val="en-US" w:eastAsia="zh-CN"/>
        </w:rPr>
        <w:t>9</w:t>
      </w:r>
      <w:r>
        <w:rPr>
          <w:rFonts w:hint="eastAsia" w:ascii="宋体" w:cs="宋体"/>
          <w:color w:val="auto"/>
          <w:kern w:val="0"/>
          <w:sz w:val="24"/>
        </w:rPr>
        <w:t>:00</w:t>
      </w:r>
    </w:p>
    <w:p>
      <w:pPr>
        <w:widowControl/>
        <w:spacing w:line="360" w:lineRule="auto"/>
        <w:ind w:right="-307" w:rightChars="-146"/>
        <w:jc w:val="left"/>
        <w:rPr>
          <w:rFonts w:ascii="宋体" w:cs="宋体"/>
          <w:b/>
          <w:bCs/>
          <w:color w:val="auto"/>
          <w:kern w:val="0"/>
          <w:sz w:val="24"/>
        </w:rPr>
      </w:pPr>
      <w:r>
        <w:rPr>
          <w:rFonts w:hint="eastAsia" w:ascii="宋体" w:cs="宋体"/>
          <w:b/>
          <w:bCs/>
          <w:color w:val="auto"/>
          <w:kern w:val="0"/>
          <w:sz w:val="24"/>
        </w:rPr>
        <w:t>4.比选文件的获取</w:t>
      </w:r>
    </w:p>
    <w:p>
      <w:pPr>
        <w:widowControl/>
        <w:spacing w:line="360" w:lineRule="auto"/>
        <w:ind w:left="717" w:leftChars="227" w:right="-307" w:rightChars="-146" w:hanging="240" w:hangingChars="100"/>
        <w:jc w:val="left"/>
        <w:rPr>
          <w:rFonts w:hint="eastAsia" w:cs="微软雅黑"/>
          <w:color w:val="auto"/>
          <w:sz w:val="24"/>
          <w:lang w:eastAsia="zh-CN"/>
        </w:rPr>
      </w:pPr>
      <w:r>
        <w:rPr>
          <w:rFonts w:cs="微软雅黑"/>
          <w:color w:val="auto"/>
          <w:sz w:val="24"/>
        </w:rPr>
        <w:t>凡有意</w:t>
      </w:r>
      <w:r>
        <w:rPr>
          <w:rFonts w:hint="eastAsia" w:cs="微软雅黑"/>
          <w:color w:val="auto"/>
          <w:sz w:val="24"/>
        </w:rPr>
        <w:t>参选</w:t>
      </w:r>
      <w:r>
        <w:rPr>
          <w:rFonts w:cs="微软雅黑"/>
          <w:color w:val="auto"/>
          <w:sz w:val="24"/>
        </w:rPr>
        <w:t>者，</w:t>
      </w:r>
      <w:r>
        <w:rPr>
          <w:rFonts w:hint="eastAsia" w:cs="微软雅黑"/>
          <w:color w:val="auto"/>
          <w:sz w:val="24"/>
          <w:lang w:eastAsia="zh-CN"/>
        </w:rPr>
        <w:t>请点击</w:t>
      </w:r>
      <w:r>
        <w:rPr>
          <w:rFonts w:hint="eastAsia" w:cs="微软雅黑"/>
          <w:color w:val="auto"/>
          <w:sz w:val="24"/>
          <w:lang w:val="en-US" w:eastAsia="zh-CN"/>
        </w:rPr>
        <w:t>附件</w:t>
      </w:r>
      <w:r>
        <w:rPr>
          <w:rFonts w:hint="eastAsia" w:cs="微软雅黑"/>
          <w:color w:val="auto"/>
          <w:sz w:val="24"/>
          <w:lang w:eastAsia="zh-CN"/>
        </w:rPr>
        <w:t>自行下载。</w:t>
      </w:r>
    </w:p>
    <w:p>
      <w:pPr>
        <w:widowControl/>
        <w:spacing w:line="360" w:lineRule="auto"/>
        <w:ind w:right="-307" w:rightChars="-146"/>
        <w:jc w:val="left"/>
        <w:rPr>
          <w:rFonts w:ascii="宋体" w:cs="宋体"/>
          <w:b/>
          <w:bCs/>
          <w:color w:val="auto"/>
          <w:kern w:val="0"/>
          <w:sz w:val="24"/>
        </w:rPr>
      </w:pPr>
      <w:r>
        <w:rPr>
          <w:rFonts w:hint="eastAsia" w:ascii="宋体" w:cs="宋体"/>
          <w:b/>
          <w:bCs/>
          <w:color w:val="auto"/>
          <w:kern w:val="0"/>
          <w:sz w:val="24"/>
        </w:rPr>
        <w:t>5.响应文件的递交</w:t>
      </w:r>
    </w:p>
    <w:p>
      <w:pPr>
        <w:widowControl/>
        <w:spacing w:line="360" w:lineRule="auto"/>
        <w:ind w:left="-2" w:leftChars="-1" w:right="-307" w:rightChars="-146" w:firstLine="480" w:firstLineChars="200"/>
        <w:jc w:val="left"/>
        <w:rPr>
          <w:rFonts w:hint="eastAsia" w:ascii="宋体" w:eastAsia="宋体" w:cs="宋体"/>
          <w:color w:val="auto"/>
          <w:kern w:val="0"/>
          <w:sz w:val="24"/>
          <w:lang w:eastAsia="zh-CN"/>
        </w:rPr>
      </w:pPr>
      <w:r>
        <w:rPr>
          <w:rFonts w:hint="eastAsia" w:ascii="宋体" w:cs="宋体"/>
          <w:color w:val="auto"/>
          <w:kern w:val="0"/>
          <w:sz w:val="24"/>
        </w:rPr>
        <w:t>5.1响应文件递交方式：</w:t>
      </w:r>
      <w:r>
        <w:rPr>
          <w:color w:val="auto"/>
        </w:rPr>
        <w:fldChar w:fldCharType="begin"/>
      </w:r>
      <w:r>
        <w:rPr>
          <w:color w:val="auto"/>
        </w:rPr>
        <w:instrText xml:space="preserve"> HYPERLINK "mailto:根据上级部门疫情防控需要，本次投标采用网络投标方式，投标人将盖有公章的电子版投标文件发送至邮箱zctoubiao8655@126.com" </w:instrText>
      </w:r>
      <w:r>
        <w:rPr>
          <w:color w:val="auto"/>
        </w:rPr>
        <w:fldChar w:fldCharType="separate"/>
      </w:r>
      <w:r>
        <w:rPr>
          <w:rStyle w:val="30"/>
          <w:rFonts w:hint="eastAsia" w:ascii="宋体" w:cs="宋体"/>
          <w:color w:val="auto"/>
          <w:kern w:val="0"/>
          <w:sz w:val="24"/>
          <w:u w:val="none"/>
        </w:rPr>
        <w:t>根据上级要求，本次比选采用网络方式，参选人将盖有公章的电子版响应文件发送至邮箱</w:t>
      </w:r>
      <w:r>
        <w:rPr>
          <w:rStyle w:val="30"/>
          <w:rFonts w:hint="eastAsia" w:ascii="宋体" w:cs="宋体"/>
          <w:b/>
          <w:bCs/>
          <w:color w:val="auto"/>
          <w:kern w:val="0"/>
          <w:sz w:val="24"/>
        </w:rPr>
        <w:fldChar w:fldCharType="end"/>
      </w:r>
      <w:r>
        <w:rPr>
          <w:rStyle w:val="30"/>
          <w:rFonts w:hint="eastAsia" w:ascii="宋体" w:cs="宋体"/>
          <w:b/>
          <w:bCs/>
          <w:color w:val="auto"/>
          <w:kern w:val="0"/>
          <w:sz w:val="24"/>
          <w:lang w:val="en-US" w:eastAsia="zh-CN"/>
        </w:rPr>
        <w:t>grchhgk@163.com</w:t>
      </w:r>
      <w:r>
        <w:rPr>
          <w:rFonts w:hint="eastAsia" w:ascii="宋体" w:cs="宋体"/>
          <w:b/>
          <w:bCs/>
          <w:color w:val="auto"/>
          <w:kern w:val="0"/>
          <w:sz w:val="24"/>
          <w:u w:val="none"/>
          <w:lang w:eastAsia="zh-CN"/>
        </w:rPr>
        <w:t>。</w:t>
      </w:r>
    </w:p>
    <w:p>
      <w:pPr>
        <w:widowControl/>
        <w:wordWrap w:val="0"/>
        <w:spacing w:line="360" w:lineRule="auto"/>
        <w:ind w:left="-2" w:leftChars="-1" w:right="-307" w:rightChars="-146" w:firstLine="480" w:firstLineChars="200"/>
        <w:jc w:val="left"/>
        <w:rPr>
          <w:rFonts w:ascii="宋体" w:cs="宋体"/>
          <w:color w:val="auto"/>
          <w:kern w:val="0"/>
          <w:sz w:val="24"/>
        </w:rPr>
      </w:pPr>
      <w:r>
        <w:rPr>
          <w:rFonts w:hint="eastAsia" w:ascii="宋体" w:cs="宋体"/>
          <w:color w:val="auto"/>
          <w:kern w:val="0"/>
          <w:sz w:val="24"/>
        </w:rPr>
        <w:t>5.2递交截止时间为：</w:t>
      </w:r>
      <w:bookmarkStart w:id="184" w:name="_GoBack"/>
      <w:bookmarkEnd w:id="184"/>
      <w:r>
        <w:rPr>
          <w:rFonts w:hint="eastAsia" w:ascii="宋体" w:cs="宋体"/>
          <w:color w:val="auto"/>
          <w:kern w:val="0"/>
          <w:sz w:val="24"/>
          <w:u w:val="single"/>
        </w:rPr>
        <w:t>2023</w:t>
      </w:r>
      <w:r>
        <w:rPr>
          <w:rFonts w:hint="eastAsia" w:ascii="宋体" w:cs="宋体"/>
          <w:color w:val="auto"/>
          <w:kern w:val="0"/>
          <w:sz w:val="24"/>
        </w:rPr>
        <w:t>年</w:t>
      </w:r>
      <w:r>
        <w:rPr>
          <w:rFonts w:hint="eastAsia" w:ascii="宋体" w:cs="宋体"/>
          <w:color w:val="auto"/>
          <w:kern w:val="0"/>
          <w:sz w:val="24"/>
          <w:u w:val="single"/>
        </w:rPr>
        <w:t>7</w:t>
      </w:r>
      <w:r>
        <w:rPr>
          <w:rFonts w:hint="eastAsia" w:ascii="宋体" w:cs="宋体"/>
          <w:color w:val="auto"/>
          <w:kern w:val="0"/>
          <w:sz w:val="24"/>
        </w:rPr>
        <w:t>月</w:t>
      </w:r>
      <w:r>
        <w:rPr>
          <w:rFonts w:hint="eastAsia" w:ascii="宋体" w:cs="宋体"/>
          <w:color w:val="auto"/>
          <w:kern w:val="0"/>
          <w:sz w:val="24"/>
          <w:u w:val="single"/>
          <w:lang w:val="en-US" w:eastAsia="zh-CN"/>
        </w:rPr>
        <w:t>15</w:t>
      </w:r>
      <w:r>
        <w:rPr>
          <w:rFonts w:hint="eastAsia" w:ascii="宋体" w:cs="宋体"/>
          <w:color w:val="auto"/>
          <w:kern w:val="0"/>
          <w:sz w:val="24"/>
        </w:rPr>
        <w:t>日</w:t>
      </w:r>
      <w:r>
        <w:rPr>
          <w:rFonts w:hint="eastAsia" w:ascii="宋体" w:cs="宋体"/>
          <w:color w:val="auto"/>
          <w:kern w:val="0"/>
          <w:sz w:val="24"/>
          <w:lang w:val="en-US" w:eastAsia="zh-CN"/>
        </w:rPr>
        <w:t>9</w:t>
      </w:r>
      <w:r>
        <w:rPr>
          <w:rFonts w:hint="eastAsia" w:ascii="宋体" w:cs="宋体"/>
          <w:color w:val="auto"/>
          <w:kern w:val="0"/>
          <w:sz w:val="24"/>
        </w:rPr>
        <w:t>:00。</w:t>
      </w:r>
    </w:p>
    <w:p>
      <w:pPr>
        <w:widowControl/>
        <w:spacing w:line="360" w:lineRule="auto"/>
        <w:ind w:left="-2" w:leftChars="-1" w:right="-307" w:rightChars="-146" w:firstLine="480" w:firstLineChars="200"/>
        <w:jc w:val="left"/>
        <w:rPr>
          <w:rFonts w:ascii="宋体" w:cs="宋体"/>
          <w:kern w:val="0"/>
          <w:sz w:val="24"/>
        </w:rPr>
      </w:pPr>
      <w:r>
        <w:rPr>
          <w:rFonts w:hint="eastAsia" w:ascii="宋体" w:cs="宋体"/>
          <w:color w:val="auto"/>
          <w:kern w:val="0"/>
          <w:sz w:val="24"/>
        </w:rPr>
        <w:t>5.3逾期送达的、未送达指定邮箱或不符合文件要求的，发布人有权</w:t>
      </w:r>
      <w:r>
        <w:rPr>
          <w:rFonts w:hint="eastAsia" w:ascii="宋体" w:cs="宋体"/>
          <w:kern w:val="0"/>
          <w:sz w:val="24"/>
        </w:rPr>
        <w:t>予以拒收。</w:t>
      </w:r>
    </w:p>
    <w:p>
      <w:pPr>
        <w:widowControl/>
        <w:spacing w:line="360" w:lineRule="auto"/>
        <w:ind w:right="-307" w:rightChars="-146"/>
        <w:jc w:val="left"/>
        <w:rPr>
          <w:rFonts w:ascii="宋体" w:cs="宋体"/>
          <w:b/>
          <w:bCs/>
          <w:kern w:val="0"/>
          <w:sz w:val="24"/>
        </w:rPr>
      </w:pPr>
      <w:r>
        <w:rPr>
          <w:rFonts w:hint="eastAsia" w:ascii="宋体" w:cs="宋体"/>
          <w:b/>
          <w:bCs/>
          <w:kern w:val="0"/>
          <w:sz w:val="24"/>
        </w:rPr>
        <w:t>6.发布公告的媒体</w:t>
      </w:r>
    </w:p>
    <w:p>
      <w:pPr>
        <w:widowControl/>
        <w:ind w:firstLine="480" w:firstLineChars="200"/>
        <w:jc w:val="left"/>
        <w:rPr>
          <w:rFonts w:ascii="宋体" w:cs="宋体"/>
          <w:kern w:val="0"/>
          <w:sz w:val="24"/>
        </w:rPr>
      </w:pPr>
      <w:r>
        <w:rPr>
          <w:rFonts w:hint="eastAsia" w:ascii="宋体" w:cs="宋体"/>
          <w:kern w:val="0"/>
          <w:sz w:val="24"/>
        </w:rPr>
        <w:t>本次比选公告在石家庄市供热管理集团有限公司官网</w:t>
      </w:r>
      <w:r>
        <w:rPr>
          <w:rFonts w:hint="eastAsia"/>
        </w:rPr>
        <w:t>https://www.sjzsgrjt.com/</w:t>
      </w:r>
      <w:r>
        <w:rPr>
          <w:rFonts w:hint="eastAsia" w:ascii="宋体" w:cs="宋体"/>
          <w:kern w:val="0"/>
          <w:sz w:val="24"/>
        </w:rPr>
        <w:t>上</w:t>
      </w:r>
      <w:r>
        <w:rPr>
          <w:rFonts w:hint="eastAsia"/>
          <w:lang w:eastAsia="zh-CN"/>
        </w:rPr>
        <w:t>“信息公开栏”</w:t>
      </w:r>
      <w:r>
        <w:rPr>
          <w:rFonts w:hint="eastAsia" w:ascii="宋体" w:cs="宋体"/>
          <w:kern w:val="0"/>
          <w:sz w:val="24"/>
        </w:rPr>
        <w:t>发布。</w:t>
      </w:r>
    </w:p>
    <w:p>
      <w:pPr>
        <w:widowControl/>
        <w:spacing w:line="360" w:lineRule="auto"/>
        <w:jc w:val="left"/>
      </w:pPr>
      <w:r>
        <w:rPr>
          <w:rFonts w:hint="eastAsia" w:ascii="宋体" w:hAnsi="宋体" w:cs="宋体"/>
          <w:b/>
          <w:bCs/>
          <w:color w:val="000000"/>
          <w:kern w:val="0"/>
          <w:sz w:val="24"/>
        </w:rPr>
        <w:t>7.公告期限</w:t>
      </w:r>
    </w:p>
    <w:p>
      <w:pPr>
        <w:widowControl/>
        <w:spacing w:line="360" w:lineRule="auto"/>
        <w:ind w:firstLine="480" w:firstLineChars="200"/>
        <w:jc w:val="left"/>
        <w:rPr>
          <w:rFonts w:ascii="宋体" w:hAnsi="宋体" w:cs="宋体"/>
          <w:sz w:val="20"/>
          <w:szCs w:val="22"/>
        </w:rPr>
      </w:pPr>
      <w:r>
        <w:rPr>
          <w:rFonts w:hint="eastAsia" w:ascii="宋体" w:hAnsi="宋体" w:cs="宋体"/>
          <w:color w:val="000000"/>
          <w:kern w:val="0"/>
          <w:sz w:val="24"/>
        </w:rPr>
        <w:t>自本公告发布之日起</w:t>
      </w:r>
      <w:r>
        <w:rPr>
          <w:rFonts w:hint="eastAsia" w:ascii="宋体" w:hAnsi="宋体" w:cs="宋体"/>
          <w:color w:val="000000"/>
          <w:kern w:val="0"/>
          <w:sz w:val="24"/>
          <w:lang w:val="en-US" w:eastAsia="zh-CN"/>
        </w:rPr>
        <w:t>5</w:t>
      </w:r>
      <w:r>
        <w:rPr>
          <w:rFonts w:hint="eastAsia" w:ascii="宋体" w:hAnsi="宋体" w:cs="宋体"/>
          <w:color w:val="000000"/>
          <w:kern w:val="0"/>
          <w:sz w:val="24"/>
        </w:rPr>
        <w:t>个工作日。</w:t>
      </w:r>
    </w:p>
    <w:p>
      <w:pPr>
        <w:widowControl/>
        <w:spacing w:line="360" w:lineRule="auto"/>
        <w:ind w:right="-307" w:rightChars="-146"/>
        <w:jc w:val="left"/>
        <w:rPr>
          <w:rFonts w:ascii="宋体" w:cs="宋体"/>
          <w:b/>
          <w:bCs/>
          <w:kern w:val="0"/>
          <w:sz w:val="24"/>
        </w:rPr>
      </w:pPr>
      <w:r>
        <w:rPr>
          <w:rFonts w:hint="eastAsia" w:ascii="宋体" w:cs="宋体"/>
          <w:b/>
          <w:bCs/>
          <w:kern w:val="0"/>
          <w:sz w:val="24"/>
        </w:rPr>
        <w:t>8.联系方式</w:t>
      </w:r>
    </w:p>
    <w:p>
      <w:pPr>
        <w:widowControl/>
        <w:spacing w:line="360" w:lineRule="auto"/>
        <w:ind w:left="-2" w:leftChars="-1" w:right="-307" w:rightChars="-146" w:firstLine="480" w:firstLineChars="200"/>
        <w:jc w:val="left"/>
        <w:rPr>
          <w:rFonts w:ascii="宋体" w:hAnsi="宋体" w:cs="宋体"/>
          <w:color w:val="000000"/>
          <w:kern w:val="0"/>
          <w:sz w:val="24"/>
        </w:rPr>
      </w:pPr>
      <w:r>
        <w:rPr>
          <w:rFonts w:hint="eastAsia" w:ascii="宋体" w:cs="宋体"/>
          <w:color w:val="000000"/>
          <w:kern w:val="0"/>
          <w:sz w:val="24"/>
        </w:rPr>
        <w:t>发布人：</w:t>
      </w:r>
      <w:r>
        <w:rPr>
          <w:rFonts w:hint="eastAsia" w:ascii="宋体" w:hAnsi="宋体" w:cs="宋体"/>
          <w:color w:val="000000"/>
          <w:kern w:val="0"/>
          <w:sz w:val="24"/>
        </w:rPr>
        <w:t>石家庄承宏工程建设有限公司</w:t>
      </w:r>
    </w:p>
    <w:p>
      <w:pPr>
        <w:widowControl/>
        <w:spacing w:line="360" w:lineRule="auto"/>
        <w:ind w:left="-2" w:leftChars="-1" w:right="-307" w:rightChars="-146" w:firstLine="480" w:firstLineChars="200"/>
        <w:jc w:val="left"/>
        <w:rPr>
          <w:rFonts w:ascii="宋体" w:hAnsi="宋体" w:cs="宋体"/>
          <w:color w:val="000000"/>
          <w:kern w:val="0"/>
          <w:sz w:val="24"/>
        </w:rPr>
      </w:pPr>
      <w:r>
        <w:rPr>
          <w:rFonts w:hint="eastAsia" w:ascii="宋体" w:hAnsi="宋体" w:cs="宋体"/>
          <w:color w:val="000000"/>
          <w:kern w:val="0"/>
          <w:sz w:val="24"/>
        </w:rPr>
        <w:t>地址：石家庄市和平东路751号东配楼</w:t>
      </w:r>
    </w:p>
    <w:p>
      <w:pPr>
        <w:widowControl/>
        <w:spacing w:line="360" w:lineRule="auto"/>
        <w:ind w:left="-2" w:leftChars="-1" w:right="-307" w:rightChars="-146" w:firstLine="480" w:firstLineChars="200"/>
        <w:jc w:val="left"/>
        <w:rPr>
          <w:rFonts w:hint="eastAsia" w:ascii="宋体" w:eastAsia="宋体" w:cs="宋体"/>
          <w:kern w:val="0"/>
          <w:sz w:val="24"/>
          <w:lang w:val="en-US" w:eastAsia="zh-CN"/>
        </w:rPr>
      </w:pPr>
      <w:r>
        <w:rPr>
          <w:rFonts w:hint="eastAsia" w:ascii="宋体" w:cs="宋体"/>
          <w:color w:val="000000"/>
          <w:kern w:val="0"/>
          <w:sz w:val="24"/>
        </w:rPr>
        <w:t>联系人：</w:t>
      </w:r>
      <w:r>
        <w:rPr>
          <w:rFonts w:hint="eastAsia" w:ascii="宋体" w:cs="宋体"/>
          <w:kern w:val="0"/>
          <w:sz w:val="24"/>
        </w:rPr>
        <w:t>合规运营部</w:t>
      </w:r>
      <w:r>
        <w:rPr>
          <w:rFonts w:hint="eastAsia" w:ascii="宋体" w:cs="宋体"/>
          <w:kern w:val="0"/>
          <w:sz w:val="24"/>
          <w:lang w:val="en-US" w:eastAsia="zh-CN"/>
        </w:rPr>
        <w:t xml:space="preserve"> 段瑶环</w:t>
      </w:r>
    </w:p>
    <w:p>
      <w:pPr>
        <w:widowControl/>
        <w:spacing w:line="360" w:lineRule="auto"/>
        <w:ind w:left="-2" w:leftChars="-1" w:right="-307" w:rightChars="-146" w:firstLine="480" w:firstLineChars="200"/>
        <w:jc w:val="left"/>
        <w:rPr>
          <w:rFonts w:hint="default" w:eastAsia="宋体"/>
          <w:color w:val="auto"/>
          <w:lang w:val="en-US" w:eastAsia="zh-CN"/>
        </w:rPr>
      </w:pPr>
      <w:r>
        <w:rPr>
          <w:rFonts w:hint="eastAsia" w:ascii="宋体" w:cs="宋体"/>
          <w:color w:val="auto"/>
          <w:kern w:val="0"/>
          <w:sz w:val="24"/>
        </w:rPr>
        <w:t>联系电话：0311</w:t>
      </w:r>
      <w:r>
        <w:rPr>
          <w:rFonts w:hint="eastAsia" w:ascii="宋体" w:cs="宋体"/>
          <w:color w:val="auto"/>
          <w:kern w:val="0"/>
          <w:sz w:val="24"/>
          <w:lang w:val="en-US" w:eastAsia="zh-CN"/>
        </w:rPr>
        <w:t>-80901021</w:t>
      </w:r>
    </w:p>
    <w:p>
      <w:pPr>
        <w:widowControl/>
        <w:jc w:val="left"/>
        <w:rPr>
          <w:rFonts w:ascii="宋体" w:cs="宋体"/>
          <w:kern w:val="0"/>
          <w:sz w:val="24"/>
        </w:rPr>
      </w:pPr>
      <w:r>
        <w:rPr>
          <w:rFonts w:ascii="宋体" w:cs="宋体"/>
          <w:kern w:val="0"/>
          <w:sz w:val="24"/>
        </w:rPr>
        <w:br w:type="page"/>
      </w:r>
    </w:p>
    <w:p>
      <w:pPr>
        <w:spacing w:line="720" w:lineRule="auto"/>
        <w:jc w:val="center"/>
        <w:outlineLvl w:val="1"/>
        <w:rPr>
          <w:rFonts w:hint="eastAsia" w:ascii="宋体" w:cs="宋体"/>
          <w:b/>
          <w:bCs/>
          <w:snapToGrid w:val="0"/>
          <w:kern w:val="0"/>
          <w:sz w:val="44"/>
          <w:szCs w:val="44"/>
        </w:rPr>
      </w:pPr>
      <w:bookmarkStart w:id="19" w:name="_Toc10675"/>
      <w:bookmarkStart w:id="20" w:name="_Toc12829"/>
      <w:bookmarkStart w:id="21" w:name="_Toc23301"/>
      <w:bookmarkStart w:id="22" w:name="_Toc3275"/>
      <w:bookmarkStart w:id="23" w:name="_Toc9249"/>
      <w:bookmarkStart w:id="24" w:name="_Toc19817"/>
      <w:bookmarkStart w:id="25" w:name="_Toc23647"/>
      <w:bookmarkStart w:id="26" w:name="_Toc13783"/>
      <w:bookmarkStart w:id="27" w:name="_Toc17223"/>
      <w:r>
        <w:rPr>
          <w:rFonts w:hint="eastAsia" w:ascii="宋体" w:cs="宋体"/>
          <w:b/>
          <w:bCs/>
          <w:snapToGrid w:val="0"/>
          <w:kern w:val="0"/>
          <w:sz w:val="44"/>
          <w:szCs w:val="44"/>
        </w:rPr>
        <w:t>第二章 参选人须知</w:t>
      </w:r>
      <w:bookmarkEnd w:id="19"/>
      <w:bookmarkEnd w:id="20"/>
      <w:bookmarkEnd w:id="21"/>
      <w:bookmarkEnd w:id="22"/>
      <w:bookmarkEnd w:id="23"/>
      <w:bookmarkEnd w:id="24"/>
      <w:bookmarkEnd w:id="25"/>
      <w:bookmarkEnd w:id="26"/>
      <w:bookmarkEnd w:id="27"/>
    </w:p>
    <w:p>
      <w:pPr>
        <w:widowControl/>
        <w:spacing w:line="360" w:lineRule="auto"/>
        <w:jc w:val="center"/>
        <w:rPr>
          <w:rFonts w:ascii="宋体" w:cs="宋体"/>
          <w:bCs/>
          <w:kern w:val="0"/>
          <w:sz w:val="32"/>
          <w:szCs w:val="32"/>
        </w:rPr>
      </w:pPr>
      <w:r>
        <w:rPr>
          <w:rFonts w:hint="eastAsia" w:ascii="宋体" w:cs="宋体"/>
          <w:bCs/>
          <w:kern w:val="0"/>
          <w:sz w:val="32"/>
          <w:szCs w:val="32"/>
        </w:rPr>
        <w:t>参选人须知前附表</w:t>
      </w:r>
    </w:p>
    <w:p>
      <w:pPr>
        <w:pStyle w:val="24"/>
        <w:ind w:firstLine="528"/>
      </w:pPr>
    </w:p>
    <w:tbl>
      <w:tblPr>
        <w:tblStyle w:val="25"/>
        <w:tblW w:w="8768" w:type="dxa"/>
        <w:jc w:val="center"/>
        <w:tblLayout w:type="fixed"/>
        <w:tblCellMar>
          <w:top w:w="0" w:type="dxa"/>
          <w:left w:w="108" w:type="dxa"/>
          <w:bottom w:w="0" w:type="dxa"/>
          <w:right w:w="108" w:type="dxa"/>
        </w:tblCellMar>
      </w:tblPr>
      <w:tblGrid>
        <w:gridCol w:w="760"/>
        <w:gridCol w:w="1951"/>
        <w:gridCol w:w="6057"/>
      </w:tblGrid>
      <w:tr>
        <w:tblPrEx>
          <w:tblCellMar>
            <w:top w:w="0" w:type="dxa"/>
            <w:left w:w="108" w:type="dxa"/>
            <w:bottom w:w="0" w:type="dxa"/>
            <w:right w:w="108" w:type="dxa"/>
          </w:tblCellMar>
        </w:tblPrEx>
        <w:trPr>
          <w:trHeight w:val="881" w:hRule="atLeast"/>
          <w:jc w:val="center"/>
        </w:trPr>
        <w:tc>
          <w:tcPr>
            <w:tcW w:w="760" w:type="dxa"/>
            <w:tcBorders>
              <w:top w:val="single" w:color="000000" w:sz="8" w:space="0"/>
              <w:left w:val="single" w:color="000000" w:sz="8" w:space="0"/>
              <w:bottom w:val="single" w:color="000000" w:sz="4" w:space="0"/>
              <w:right w:val="single" w:color="000000" w:sz="4" w:space="0"/>
            </w:tcBorders>
            <w:vAlign w:val="center"/>
          </w:tcPr>
          <w:p>
            <w:pPr>
              <w:widowControl/>
              <w:spacing w:line="400" w:lineRule="exact"/>
              <w:jc w:val="center"/>
              <w:rPr>
                <w:rFonts w:ascii="宋体" w:cs="宋体"/>
                <w:b/>
                <w:bCs/>
                <w:kern w:val="0"/>
                <w:sz w:val="24"/>
              </w:rPr>
            </w:pPr>
            <w:r>
              <w:rPr>
                <w:rFonts w:hint="eastAsia" w:ascii="宋体" w:cs="宋体"/>
                <w:b/>
                <w:bCs/>
                <w:kern w:val="0"/>
                <w:sz w:val="24"/>
              </w:rPr>
              <w:t>项号</w:t>
            </w:r>
          </w:p>
        </w:tc>
        <w:tc>
          <w:tcPr>
            <w:tcW w:w="1951" w:type="dxa"/>
            <w:tcBorders>
              <w:top w:val="single" w:color="000000" w:sz="8" w:space="0"/>
              <w:left w:val="nil"/>
              <w:bottom w:val="single" w:color="000000" w:sz="4" w:space="0"/>
              <w:right w:val="single" w:color="000000" w:sz="4" w:space="0"/>
            </w:tcBorders>
            <w:vAlign w:val="center"/>
          </w:tcPr>
          <w:p>
            <w:pPr>
              <w:widowControl/>
              <w:spacing w:line="400" w:lineRule="exact"/>
              <w:jc w:val="center"/>
              <w:rPr>
                <w:rFonts w:ascii="宋体" w:cs="宋体"/>
                <w:b/>
                <w:bCs/>
                <w:kern w:val="0"/>
                <w:sz w:val="24"/>
              </w:rPr>
            </w:pPr>
            <w:r>
              <w:rPr>
                <w:rFonts w:hint="eastAsia" w:ascii="宋体" w:cs="宋体"/>
                <w:b/>
                <w:bCs/>
                <w:kern w:val="0"/>
                <w:sz w:val="24"/>
              </w:rPr>
              <w:t>内容</w:t>
            </w:r>
          </w:p>
        </w:tc>
        <w:tc>
          <w:tcPr>
            <w:tcW w:w="6057" w:type="dxa"/>
            <w:tcBorders>
              <w:top w:val="single" w:color="000000" w:sz="8" w:space="0"/>
              <w:left w:val="nil"/>
              <w:bottom w:val="single" w:color="000000" w:sz="4" w:space="0"/>
              <w:right w:val="single" w:color="000000" w:sz="8" w:space="0"/>
            </w:tcBorders>
            <w:vAlign w:val="center"/>
          </w:tcPr>
          <w:p>
            <w:pPr>
              <w:widowControl/>
              <w:spacing w:line="400" w:lineRule="exact"/>
              <w:jc w:val="center"/>
              <w:rPr>
                <w:rFonts w:ascii="宋体" w:cs="宋体"/>
                <w:b/>
                <w:bCs/>
                <w:kern w:val="0"/>
                <w:sz w:val="24"/>
              </w:rPr>
            </w:pPr>
            <w:r>
              <w:rPr>
                <w:rFonts w:hint="eastAsia" w:ascii="宋体" w:cs="宋体"/>
                <w:b/>
                <w:bCs/>
                <w:kern w:val="0"/>
                <w:sz w:val="24"/>
              </w:rPr>
              <w:t>说明与要求</w:t>
            </w:r>
          </w:p>
        </w:tc>
      </w:tr>
      <w:tr>
        <w:tblPrEx>
          <w:tblCellMar>
            <w:top w:w="0" w:type="dxa"/>
            <w:left w:w="108" w:type="dxa"/>
            <w:bottom w:w="0" w:type="dxa"/>
            <w:right w:w="108" w:type="dxa"/>
          </w:tblCellMar>
        </w:tblPrEx>
        <w:trPr>
          <w:trHeight w:val="1746"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1</w:t>
            </w:r>
          </w:p>
        </w:tc>
        <w:tc>
          <w:tcPr>
            <w:tcW w:w="1951"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发布人</w:t>
            </w:r>
          </w:p>
        </w:tc>
        <w:tc>
          <w:tcPr>
            <w:tcW w:w="6057" w:type="dxa"/>
            <w:tcBorders>
              <w:top w:val="single" w:color="000000" w:sz="4" w:space="0"/>
              <w:left w:val="nil"/>
              <w:bottom w:val="single" w:color="000000" w:sz="4" w:space="0"/>
              <w:right w:val="single" w:color="000000" w:sz="8" w:space="0"/>
            </w:tcBorders>
            <w:vAlign w:val="center"/>
          </w:tcPr>
          <w:p>
            <w:pPr>
              <w:widowControl/>
              <w:spacing w:line="400" w:lineRule="exact"/>
              <w:rPr>
                <w:rFonts w:ascii="宋体" w:cs="宋体"/>
                <w:kern w:val="0"/>
                <w:sz w:val="24"/>
              </w:rPr>
            </w:pPr>
            <w:r>
              <w:rPr>
                <w:rFonts w:hint="eastAsia" w:ascii="宋体" w:cs="宋体"/>
                <w:kern w:val="0"/>
                <w:sz w:val="24"/>
              </w:rPr>
              <w:t>名称：石家庄承宏工程建设有限公司</w:t>
            </w:r>
          </w:p>
          <w:p>
            <w:pPr>
              <w:widowControl/>
              <w:spacing w:line="400" w:lineRule="exact"/>
              <w:rPr>
                <w:rFonts w:ascii="宋体" w:cs="宋体"/>
                <w:kern w:val="0"/>
                <w:sz w:val="24"/>
              </w:rPr>
            </w:pPr>
            <w:r>
              <w:rPr>
                <w:rFonts w:hint="eastAsia" w:ascii="宋体" w:cs="宋体"/>
                <w:kern w:val="0"/>
                <w:sz w:val="24"/>
              </w:rPr>
              <w:t>地址：石家庄市和平东路751号东配楼</w:t>
            </w:r>
          </w:p>
          <w:p>
            <w:pPr>
              <w:widowControl/>
              <w:spacing w:line="400" w:lineRule="exact"/>
              <w:rPr>
                <w:rFonts w:hint="eastAsia" w:ascii="宋体" w:eastAsia="宋体" w:cs="宋体"/>
                <w:kern w:val="0"/>
                <w:sz w:val="24"/>
                <w:lang w:val="en-US" w:eastAsia="zh-CN"/>
              </w:rPr>
            </w:pPr>
            <w:r>
              <w:rPr>
                <w:rFonts w:hint="eastAsia" w:ascii="宋体" w:cs="宋体"/>
                <w:kern w:val="0"/>
                <w:sz w:val="24"/>
              </w:rPr>
              <w:t>联系人：合规运营部</w:t>
            </w:r>
            <w:r>
              <w:rPr>
                <w:rFonts w:hint="eastAsia" w:ascii="宋体" w:cs="宋体"/>
                <w:kern w:val="0"/>
                <w:sz w:val="24"/>
                <w:lang w:val="en-US" w:eastAsia="zh-CN"/>
              </w:rPr>
              <w:t xml:space="preserve"> 段瑶环</w:t>
            </w:r>
          </w:p>
          <w:p>
            <w:pPr>
              <w:widowControl/>
              <w:spacing w:line="400" w:lineRule="exact"/>
              <w:rPr>
                <w:rFonts w:hint="default" w:ascii="宋体" w:eastAsia="宋体" w:cs="宋体"/>
                <w:kern w:val="0"/>
                <w:sz w:val="24"/>
                <w:lang w:val="en-US" w:eastAsia="zh-CN"/>
              </w:rPr>
            </w:pPr>
            <w:r>
              <w:rPr>
                <w:rFonts w:hint="eastAsia" w:ascii="宋体" w:cs="宋体"/>
                <w:kern w:val="0"/>
                <w:sz w:val="24"/>
              </w:rPr>
              <w:t>联系电话：</w:t>
            </w:r>
            <w:r>
              <w:rPr>
                <w:rFonts w:hint="eastAsia" w:ascii="宋体" w:cs="宋体"/>
                <w:color w:val="auto"/>
                <w:kern w:val="0"/>
                <w:sz w:val="24"/>
              </w:rPr>
              <w:t>0311</w:t>
            </w:r>
            <w:r>
              <w:rPr>
                <w:rFonts w:hint="eastAsia" w:ascii="宋体" w:cs="宋体"/>
                <w:color w:val="auto"/>
                <w:kern w:val="0"/>
                <w:sz w:val="24"/>
                <w:lang w:val="en-US" w:eastAsia="zh-CN"/>
              </w:rPr>
              <w:t>-80901021</w:t>
            </w:r>
          </w:p>
        </w:tc>
      </w:tr>
      <w:tr>
        <w:tblPrEx>
          <w:tblCellMar>
            <w:top w:w="0" w:type="dxa"/>
            <w:left w:w="108" w:type="dxa"/>
            <w:bottom w:w="0" w:type="dxa"/>
            <w:right w:w="108" w:type="dxa"/>
          </w:tblCellMar>
        </w:tblPrEx>
        <w:trPr>
          <w:trHeight w:val="951"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2</w:t>
            </w:r>
          </w:p>
        </w:tc>
        <w:tc>
          <w:tcPr>
            <w:tcW w:w="195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cs="宋体"/>
                <w:color w:val="0000FF"/>
                <w:kern w:val="0"/>
                <w:sz w:val="24"/>
              </w:rPr>
            </w:pPr>
            <w:r>
              <w:rPr>
                <w:rFonts w:hint="eastAsia" w:ascii="宋体" w:cs="宋体"/>
                <w:kern w:val="0"/>
                <w:sz w:val="24"/>
              </w:rPr>
              <w:t>项目名称</w:t>
            </w:r>
          </w:p>
        </w:tc>
        <w:tc>
          <w:tcPr>
            <w:tcW w:w="6057" w:type="dxa"/>
            <w:tcBorders>
              <w:top w:val="single" w:color="000000" w:sz="4" w:space="0"/>
              <w:left w:val="nil"/>
              <w:bottom w:val="single" w:color="000000" w:sz="4" w:space="0"/>
              <w:right w:val="single" w:color="000000" w:sz="8" w:space="0"/>
            </w:tcBorders>
            <w:vAlign w:val="center"/>
          </w:tcPr>
          <w:p>
            <w:pPr>
              <w:widowControl/>
              <w:spacing w:line="360" w:lineRule="auto"/>
              <w:ind w:right="-307" w:rightChars="-146"/>
              <w:jc w:val="left"/>
              <w:rPr>
                <w:rFonts w:hint="eastAsia" w:cs="微软雅黑"/>
                <w:sz w:val="24"/>
              </w:rPr>
            </w:pPr>
            <w:r>
              <w:rPr>
                <w:rFonts w:hint="eastAsia" w:cs="微软雅黑"/>
                <w:sz w:val="24"/>
              </w:rPr>
              <w:t>石家庄承宏工程建设有限公司</w:t>
            </w:r>
            <w:r>
              <w:rPr>
                <w:rFonts w:hint="eastAsia" w:cs="微软雅黑"/>
                <w:sz w:val="24"/>
                <w:lang w:eastAsia="zh-CN"/>
              </w:rPr>
              <w:t>预储</w:t>
            </w:r>
            <w:r>
              <w:rPr>
                <w:rFonts w:hint="eastAsia" w:cs="微软雅黑"/>
                <w:sz w:val="24"/>
              </w:rPr>
              <w:t>应急保温管及管件</w:t>
            </w:r>
          </w:p>
          <w:p>
            <w:pPr>
              <w:widowControl/>
              <w:spacing w:line="360" w:lineRule="auto"/>
              <w:ind w:right="-307" w:rightChars="-146"/>
              <w:jc w:val="left"/>
              <w:rPr>
                <w:rFonts w:hint="eastAsia" w:ascii="宋体" w:eastAsia="宋体" w:cs="宋体"/>
                <w:color w:val="0000FF"/>
                <w:kern w:val="0"/>
                <w:sz w:val="24"/>
                <w:lang w:eastAsia="zh-CN"/>
              </w:rPr>
            </w:pPr>
            <w:r>
              <w:rPr>
                <w:rFonts w:hint="eastAsia" w:cs="微软雅黑"/>
                <w:sz w:val="24"/>
              </w:rPr>
              <w:t>采购项目</w:t>
            </w:r>
            <w:r>
              <w:rPr>
                <w:rFonts w:hint="eastAsia" w:cs="微软雅黑"/>
                <w:sz w:val="24"/>
                <w:lang w:eastAsia="zh-CN"/>
              </w:rPr>
              <w:t>（第一批）</w:t>
            </w:r>
          </w:p>
        </w:tc>
      </w:tr>
      <w:tr>
        <w:tblPrEx>
          <w:tblCellMar>
            <w:top w:w="0" w:type="dxa"/>
            <w:left w:w="108" w:type="dxa"/>
            <w:bottom w:w="0" w:type="dxa"/>
            <w:right w:w="108" w:type="dxa"/>
          </w:tblCellMar>
        </w:tblPrEx>
        <w:trPr>
          <w:trHeight w:val="1444"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3</w:t>
            </w:r>
          </w:p>
        </w:tc>
        <w:tc>
          <w:tcPr>
            <w:tcW w:w="1951"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比选内容</w:t>
            </w:r>
          </w:p>
        </w:tc>
        <w:tc>
          <w:tcPr>
            <w:tcW w:w="6057" w:type="dxa"/>
            <w:tcBorders>
              <w:top w:val="single" w:color="000000" w:sz="4" w:space="0"/>
              <w:left w:val="nil"/>
              <w:bottom w:val="single" w:color="000000" w:sz="4" w:space="0"/>
              <w:right w:val="single" w:color="000000" w:sz="8" w:space="0"/>
            </w:tcBorders>
            <w:vAlign w:val="center"/>
          </w:tcPr>
          <w:p>
            <w:pPr>
              <w:widowControl/>
              <w:spacing w:line="360" w:lineRule="auto"/>
              <w:ind w:right="-307" w:rightChars="-146"/>
              <w:jc w:val="left"/>
              <w:rPr>
                <w:rFonts w:hint="eastAsia" w:cs="微软雅黑"/>
                <w:sz w:val="24"/>
              </w:rPr>
            </w:pPr>
            <w:r>
              <w:rPr>
                <w:rFonts w:hint="eastAsia" w:cs="微软雅黑"/>
                <w:sz w:val="24"/>
              </w:rPr>
              <w:t>石家庄承宏工程建设有限公司通过招标方式产生保温管</w:t>
            </w:r>
          </w:p>
          <w:p>
            <w:pPr>
              <w:widowControl/>
              <w:spacing w:line="360" w:lineRule="auto"/>
              <w:ind w:right="-307" w:rightChars="-146"/>
              <w:jc w:val="left"/>
              <w:rPr>
                <w:rFonts w:hint="eastAsia" w:cs="微软雅黑"/>
                <w:sz w:val="24"/>
              </w:rPr>
            </w:pPr>
            <w:r>
              <w:rPr>
                <w:rFonts w:hint="eastAsia" w:cs="微软雅黑"/>
                <w:sz w:val="24"/>
              </w:rPr>
              <w:t>及管件供应单位，甲方不保证完全按照招标数量进行采</w:t>
            </w:r>
          </w:p>
          <w:p>
            <w:pPr>
              <w:widowControl/>
              <w:spacing w:line="360" w:lineRule="auto"/>
              <w:ind w:right="-307" w:rightChars="-146"/>
              <w:jc w:val="left"/>
              <w:rPr>
                <w:rFonts w:ascii="宋体" w:cs="宋体"/>
                <w:kern w:val="0"/>
                <w:sz w:val="24"/>
              </w:rPr>
            </w:pPr>
            <w:r>
              <w:rPr>
                <w:rFonts w:hint="eastAsia" w:cs="微软雅黑"/>
                <w:sz w:val="24"/>
              </w:rPr>
              <w:t>购，具体结算数量以项目双方认可的合格数量为准。</w:t>
            </w:r>
          </w:p>
        </w:tc>
      </w:tr>
      <w:tr>
        <w:tblPrEx>
          <w:tblCellMar>
            <w:top w:w="0" w:type="dxa"/>
            <w:left w:w="108" w:type="dxa"/>
            <w:bottom w:w="0" w:type="dxa"/>
            <w:right w:w="108" w:type="dxa"/>
          </w:tblCellMar>
        </w:tblPrEx>
        <w:trPr>
          <w:trHeight w:val="615"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4</w:t>
            </w:r>
          </w:p>
        </w:tc>
        <w:tc>
          <w:tcPr>
            <w:tcW w:w="1951"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参选人资格</w:t>
            </w:r>
          </w:p>
        </w:tc>
        <w:tc>
          <w:tcPr>
            <w:tcW w:w="6057" w:type="dxa"/>
            <w:tcBorders>
              <w:top w:val="single" w:color="000000" w:sz="4" w:space="0"/>
              <w:left w:val="nil"/>
              <w:bottom w:val="single" w:color="000000" w:sz="4" w:space="0"/>
              <w:right w:val="single" w:color="000000" w:sz="8" w:space="0"/>
            </w:tcBorders>
            <w:vAlign w:val="center"/>
          </w:tcPr>
          <w:p>
            <w:pPr>
              <w:spacing w:line="400" w:lineRule="exact"/>
              <w:jc w:val="left"/>
              <w:rPr>
                <w:rFonts w:ascii="宋体" w:cs="宋体"/>
                <w:kern w:val="0"/>
                <w:sz w:val="24"/>
              </w:rPr>
            </w:pPr>
            <w:r>
              <w:rPr>
                <w:rFonts w:hint="eastAsia" w:cs="微软雅黑"/>
                <w:sz w:val="24"/>
              </w:rPr>
              <w:t>未被 “信用中国”网站(www.creditchina.gov.cn) 列入失信被执行人名单；（查询日期为公告发出之日后）</w:t>
            </w:r>
          </w:p>
        </w:tc>
      </w:tr>
      <w:tr>
        <w:tblPrEx>
          <w:tblCellMar>
            <w:top w:w="0" w:type="dxa"/>
            <w:left w:w="108" w:type="dxa"/>
            <w:bottom w:w="0" w:type="dxa"/>
            <w:right w:w="108" w:type="dxa"/>
          </w:tblCellMar>
        </w:tblPrEx>
        <w:trPr>
          <w:trHeight w:val="834"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5</w:t>
            </w:r>
          </w:p>
        </w:tc>
        <w:tc>
          <w:tcPr>
            <w:tcW w:w="1951"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质量要求</w:t>
            </w:r>
          </w:p>
        </w:tc>
        <w:tc>
          <w:tcPr>
            <w:tcW w:w="6057" w:type="dxa"/>
            <w:tcBorders>
              <w:top w:val="single" w:color="000000" w:sz="4" w:space="0"/>
              <w:left w:val="nil"/>
              <w:bottom w:val="single" w:color="000000" w:sz="4" w:space="0"/>
              <w:right w:val="single" w:color="000000" w:sz="8" w:space="0"/>
            </w:tcBorders>
            <w:vAlign w:val="center"/>
          </w:tcPr>
          <w:p>
            <w:pPr>
              <w:spacing w:line="400" w:lineRule="exact"/>
              <w:jc w:val="left"/>
              <w:rPr>
                <w:rFonts w:ascii="宋体" w:cs="宋体"/>
                <w:kern w:val="0"/>
                <w:sz w:val="24"/>
              </w:rPr>
            </w:pPr>
            <w:r>
              <w:rPr>
                <w:rFonts w:hint="eastAsia" w:ascii="宋体" w:cs="宋体"/>
                <w:kern w:val="0"/>
                <w:sz w:val="24"/>
              </w:rPr>
              <w:t>满足国家行业地方标准规范及发包人要求</w:t>
            </w:r>
          </w:p>
        </w:tc>
      </w:tr>
      <w:tr>
        <w:tblPrEx>
          <w:tblCellMar>
            <w:top w:w="0" w:type="dxa"/>
            <w:left w:w="108" w:type="dxa"/>
            <w:bottom w:w="0" w:type="dxa"/>
            <w:right w:w="108" w:type="dxa"/>
          </w:tblCellMar>
        </w:tblPrEx>
        <w:trPr>
          <w:trHeight w:val="737"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6</w:t>
            </w:r>
          </w:p>
        </w:tc>
        <w:tc>
          <w:tcPr>
            <w:tcW w:w="1951" w:type="dxa"/>
            <w:tcBorders>
              <w:top w:val="single" w:color="000000" w:sz="4" w:space="0"/>
              <w:left w:val="nil"/>
              <w:bottom w:val="single" w:color="000000" w:sz="4" w:space="0"/>
              <w:right w:val="single" w:color="000000" w:sz="4" w:space="0"/>
            </w:tcBorders>
            <w:vAlign w:val="center"/>
          </w:tcPr>
          <w:p>
            <w:pPr>
              <w:widowControl/>
              <w:jc w:val="center"/>
              <w:rPr>
                <w:rFonts w:ascii="黑体" w:eastAsia="黑体" w:cs="黑体"/>
                <w:kern w:val="0"/>
                <w:sz w:val="24"/>
              </w:rPr>
            </w:pPr>
            <w:r>
              <w:rPr>
                <w:rFonts w:hint="eastAsia" w:ascii="宋体" w:hAnsi="宋体" w:cs="宋体"/>
                <w:color w:val="000000"/>
                <w:kern w:val="0"/>
                <w:sz w:val="24"/>
              </w:rPr>
              <w:t>供应地点</w:t>
            </w:r>
          </w:p>
        </w:tc>
        <w:tc>
          <w:tcPr>
            <w:tcW w:w="6057" w:type="dxa"/>
            <w:tcBorders>
              <w:top w:val="single" w:color="000000" w:sz="4" w:space="0"/>
              <w:left w:val="nil"/>
              <w:bottom w:val="single" w:color="000000" w:sz="4" w:space="0"/>
              <w:right w:val="single" w:color="000000" w:sz="8" w:space="0"/>
            </w:tcBorders>
            <w:vAlign w:val="center"/>
          </w:tcPr>
          <w:p>
            <w:pPr>
              <w:widowControl/>
              <w:spacing w:line="400" w:lineRule="exact"/>
              <w:rPr>
                <w:rFonts w:ascii="宋体" w:cs="宋体"/>
                <w:kern w:val="0"/>
                <w:sz w:val="24"/>
              </w:rPr>
            </w:pPr>
            <w:r>
              <w:rPr>
                <w:rFonts w:hint="eastAsia" w:ascii="宋体" w:cs="宋体"/>
                <w:kern w:val="0"/>
                <w:sz w:val="24"/>
              </w:rPr>
              <w:t>发包人指定地点</w:t>
            </w:r>
          </w:p>
        </w:tc>
      </w:tr>
      <w:tr>
        <w:tblPrEx>
          <w:tblCellMar>
            <w:top w:w="0" w:type="dxa"/>
            <w:left w:w="108" w:type="dxa"/>
            <w:bottom w:w="0" w:type="dxa"/>
            <w:right w:w="108" w:type="dxa"/>
          </w:tblCellMar>
        </w:tblPrEx>
        <w:trPr>
          <w:trHeight w:val="950"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7</w:t>
            </w:r>
          </w:p>
        </w:tc>
        <w:tc>
          <w:tcPr>
            <w:tcW w:w="1951"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保证金</w:t>
            </w:r>
          </w:p>
        </w:tc>
        <w:tc>
          <w:tcPr>
            <w:tcW w:w="6057" w:type="dxa"/>
            <w:tcBorders>
              <w:top w:val="single" w:color="000000" w:sz="4" w:space="0"/>
              <w:left w:val="nil"/>
              <w:bottom w:val="single" w:color="000000" w:sz="4" w:space="0"/>
              <w:right w:val="single" w:color="000000" w:sz="8" w:space="0"/>
            </w:tcBorders>
            <w:vAlign w:val="center"/>
          </w:tcPr>
          <w:p>
            <w:pPr>
              <w:widowControl/>
              <w:spacing w:line="400" w:lineRule="exact"/>
              <w:rPr>
                <w:rFonts w:ascii="宋体" w:cs="宋体"/>
                <w:kern w:val="0"/>
                <w:sz w:val="24"/>
              </w:rPr>
            </w:pPr>
            <w:r>
              <w:rPr>
                <w:rFonts w:hint="eastAsia" w:ascii="宋体" w:cs="宋体"/>
                <w:kern w:val="0"/>
                <w:sz w:val="24"/>
              </w:rPr>
              <w:t>无</w:t>
            </w:r>
          </w:p>
        </w:tc>
      </w:tr>
      <w:tr>
        <w:tblPrEx>
          <w:tblCellMar>
            <w:top w:w="0" w:type="dxa"/>
            <w:left w:w="108" w:type="dxa"/>
            <w:bottom w:w="0" w:type="dxa"/>
            <w:right w:w="108" w:type="dxa"/>
          </w:tblCellMar>
        </w:tblPrEx>
        <w:trPr>
          <w:trHeight w:val="518"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8</w:t>
            </w:r>
          </w:p>
        </w:tc>
        <w:tc>
          <w:tcPr>
            <w:tcW w:w="195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响应文件份数</w:t>
            </w:r>
          </w:p>
        </w:tc>
        <w:tc>
          <w:tcPr>
            <w:tcW w:w="6057" w:type="dxa"/>
            <w:tcBorders>
              <w:top w:val="single" w:color="000000" w:sz="4" w:space="0"/>
              <w:left w:val="nil"/>
              <w:bottom w:val="single" w:color="000000" w:sz="4" w:space="0"/>
              <w:right w:val="single" w:color="000000" w:sz="8" w:space="0"/>
            </w:tcBorders>
            <w:vAlign w:val="center"/>
          </w:tcPr>
          <w:p>
            <w:pPr>
              <w:widowControl/>
              <w:spacing w:line="400" w:lineRule="exact"/>
              <w:rPr>
                <w:rFonts w:ascii="黑体" w:eastAsia="黑体" w:cs="黑体"/>
                <w:kern w:val="0"/>
                <w:sz w:val="24"/>
              </w:rPr>
            </w:pPr>
            <w:r>
              <w:rPr>
                <w:rFonts w:hint="eastAsia" w:ascii="宋体" w:eastAsia="宋体" w:cs="宋体"/>
                <w:kern w:val="0"/>
                <w:sz w:val="24"/>
              </w:rPr>
              <w:t>电子版正本一份</w:t>
            </w:r>
          </w:p>
        </w:tc>
      </w:tr>
      <w:tr>
        <w:tblPrEx>
          <w:tblCellMar>
            <w:top w:w="0" w:type="dxa"/>
            <w:left w:w="108" w:type="dxa"/>
            <w:bottom w:w="0" w:type="dxa"/>
            <w:right w:w="108" w:type="dxa"/>
          </w:tblCellMar>
        </w:tblPrEx>
        <w:trPr>
          <w:trHeight w:val="1300"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hint="eastAsia" w:ascii="宋体" w:eastAsia="宋体" w:cs="宋体"/>
                <w:kern w:val="0"/>
                <w:sz w:val="24"/>
                <w:lang w:eastAsia="zh-CN"/>
              </w:rPr>
            </w:pPr>
            <w:r>
              <w:rPr>
                <w:rFonts w:hint="eastAsia" w:ascii="宋体" w:cs="宋体"/>
                <w:kern w:val="0"/>
                <w:sz w:val="24"/>
                <w:lang w:val="en-US" w:eastAsia="zh-CN"/>
              </w:rPr>
              <w:t>9</w:t>
            </w:r>
          </w:p>
        </w:tc>
        <w:tc>
          <w:tcPr>
            <w:tcW w:w="1951"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黑体" w:eastAsia="黑体" w:cs="黑体"/>
                <w:kern w:val="0"/>
                <w:sz w:val="24"/>
              </w:rPr>
            </w:pPr>
            <w:r>
              <w:rPr>
                <w:rFonts w:hint="eastAsia" w:ascii="黑体" w:eastAsia="黑体" w:cs="黑体"/>
                <w:kern w:val="0"/>
                <w:sz w:val="24"/>
              </w:rPr>
              <w:t>响应文件递交截止时间及地点</w:t>
            </w:r>
          </w:p>
        </w:tc>
        <w:tc>
          <w:tcPr>
            <w:tcW w:w="6057" w:type="dxa"/>
            <w:tcBorders>
              <w:top w:val="single" w:color="000000" w:sz="4" w:space="0"/>
              <w:left w:val="nil"/>
              <w:bottom w:val="single" w:color="000000" w:sz="4" w:space="0"/>
              <w:right w:val="single" w:color="000000" w:sz="8" w:space="0"/>
            </w:tcBorders>
            <w:vAlign w:val="center"/>
          </w:tcPr>
          <w:p>
            <w:pPr>
              <w:widowControl/>
              <w:spacing w:line="400" w:lineRule="exact"/>
              <w:rPr>
                <w:rFonts w:ascii="黑体" w:eastAsia="黑体" w:cs="黑体"/>
                <w:color w:val="0000FF"/>
                <w:kern w:val="0"/>
                <w:sz w:val="24"/>
              </w:rPr>
            </w:pPr>
            <w:r>
              <w:rPr>
                <w:rFonts w:hint="eastAsia" w:ascii="黑体" w:eastAsia="黑体" w:cs="黑体"/>
                <w:kern w:val="0"/>
                <w:sz w:val="24"/>
              </w:rPr>
              <w:t>截止时间:</w:t>
            </w:r>
            <w:r>
              <w:rPr>
                <w:rFonts w:hint="eastAsia" w:ascii="宋体" w:cs="宋体"/>
                <w:kern w:val="0"/>
                <w:sz w:val="24"/>
                <w:u w:val="single"/>
              </w:rPr>
              <w:t>202</w:t>
            </w:r>
            <w:r>
              <w:rPr>
                <w:rFonts w:hint="eastAsia" w:ascii="宋体" w:cs="宋体"/>
                <w:color w:val="auto"/>
                <w:kern w:val="0"/>
                <w:sz w:val="24"/>
                <w:u w:val="single"/>
              </w:rPr>
              <w:t>3</w:t>
            </w:r>
            <w:r>
              <w:rPr>
                <w:rFonts w:hint="eastAsia" w:ascii="宋体" w:cs="宋体"/>
                <w:color w:val="auto"/>
                <w:kern w:val="0"/>
                <w:sz w:val="24"/>
              </w:rPr>
              <w:t>年</w:t>
            </w:r>
            <w:r>
              <w:rPr>
                <w:rFonts w:hint="eastAsia" w:ascii="宋体" w:cs="宋体"/>
                <w:color w:val="auto"/>
                <w:kern w:val="0"/>
                <w:sz w:val="24"/>
                <w:u w:val="single"/>
              </w:rPr>
              <w:t>7</w:t>
            </w:r>
            <w:r>
              <w:rPr>
                <w:rFonts w:hint="eastAsia" w:ascii="宋体" w:cs="宋体"/>
                <w:color w:val="auto"/>
                <w:kern w:val="0"/>
                <w:sz w:val="24"/>
              </w:rPr>
              <w:t>月</w:t>
            </w:r>
            <w:r>
              <w:rPr>
                <w:rFonts w:hint="eastAsia" w:ascii="宋体" w:cs="宋体"/>
                <w:color w:val="auto"/>
                <w:kern w:val="0"/>
                <w:sz w:val="24"/>
                <w:u w:val="single"/>
                <w:lang w:val="en-US" w:eastAsia="zh-CN"/>
              </w:rPr>
              <w:t>15</w:t>
            </w:r>
            <w:r>
              <w:rPr>
                <w:rFonts w:hint="eastAsia" w:ascii="宋体" w:cs="宋体"/>
                <w:color w:val="auto"/>
                <w:kern w:val="0"/>
                <w:sz w:val="24"/>
              </w:rPr>
              <w:t>日</w:t>
            </w:r>
            <w:r>
              <w:rPr>
                <w:rFonts w:hint="eastAsia" w:ascii="宋体" w:cs="宋体"/>
                <w:color w:val="auto"/>
                <w:kern w:val="0"/>
                <w:sz w:val="24"/>
                <w:lang w:val="en-US" w:eastAsia="zh-CN"/>
              </w:rPr>
              <w:t>9</w:t>
            </w:r>
            <w:r>
              <w:rPr>
                <w:rFonts w:hint="eastAsia" w:ascii="宋体" w:cs="宋体"/>
                <w:color w:val="auto"/>
                <w:kern w:val="0"/>
                <w:sz w:val="24"/>
              </w:rPr>
              <w:t>:00</w:t>
            </w:r>
            <w:r>
              <w:rPr>
                <w:rFonts w:hint="eastAsia" w:ascii="黑体" w:eastAsia="黑体" w:cs="黑体"/>
                <w:color w:val="auto"/>
                <w:kern w:val="0"/>
                <w:sz w:val="24"/>
              </w:rPr>
              <w:t>（北京</w:t>
            </w:r>
            <w:r>
              <w:rPr>
                <w:rFonts w:hint="eastAsia" w:ascii="黑体" w:eastAsia="黑体" w:cs="黑体"/>
                <w:kern w:val="0"/>
                <w:sz w:val="24"/>
              </w:rPr>
              <w:t>时间）</w:t>
            </w:r>
          </w:p>
          <w:p>
            <w:pPr>
              <w:widowControl/>
              <w:spacing w:line="400" w:lineRule="exact"/>
              <w:rPr>
                <w:rFonts w:ascii="黑体" w:cs="黑体"/>
                <w:kern w:val="0"/>
                <w:sz w:val="24"/>
              </w:rPr>
            </w:pPr>
            <w:r>
              <w:rPr>
                <w:rFonts w:hint="eastAsia" w:ascii="黑体" w:eastAsia="黑体" w:cs="黑体"/>
                <w:kern w:val="0"/>
                <w:sz w:val="24"/>
              </w:rPr>
              <w:t>递交地点:</w:t>
            </w:r>
            <w:r>
              <w:rPr>
                <w:rStyle w:val="30"/>
                <w:rFonts w:hint="eastAsia" w:ascii="宋体" w:cs="宋体"/>
                <w:color w:val="auto"/>
                <w:kern w:val="0"/>
                <w:sz w:val="24"/>
                <w:u w:val="none"/>
              </w:rPr>
              <w:t>将盖有公章的电子版响应文件发送至邮箱</w:t>
            </w:r>
            <w:r>
              <w:rPr>
                <w:rStyle w:val="30"/>
                <w:rFonts w:hint="eastAsia" w:ascii="宋体" w:cs="宋体"/>
                <w:b/>
                <w:bCs/>
                <w:color w:val="auto"/>
                <w:kern w:val="0"/>
                <w:sz w:val="24"/>
              </w:rPr>
              <w:t>grch</w:t>
            </w:r>
            <w:r>
              <w:rPr>
                <w:rStyle w:val="30"/>
                <w:rFonts w:hint="eastAsia" w:ascii="宋体" w:cs="宋体"/>
                <w:b/>
                <w:bCs/>
                <w:color w:val="auto"/>
                <w:kern w:val="0"/>
                <w:sz w:val="24"/>
                <w:lang w:val="en-US" w:eastAsia="zh-CN"/>
              </w:rPr>
              <w:t>hgk</w:t>
            </w:r>
            <w:r>
              <w:rPr>
                <w:rStyle w:val="30"/>
                <w:rFonts w:hint="eastAsia" w:ascii="宋体" w:cs="宋体"/>
                <w:b/>
                <w:bCs/>
                <w:color w:val="auto"/>
                <w:kern w:val="0"/>
                <w:sz w:val="24"/>
              </w:rPr>
              <w:t>@163.com</w:t>
            </w:r>
          </w:p>
        </w:tc>
      </w:tr>
      <w:tr>
        <w:tblPrEx>
          <w:tblCellMar>
            <w:top w:w="0" w:type="dxa"/>
            <w:left w:w="108" w:type="dxa"/>
            <w:bottom w:w="0" w:type="dxa"/>
            <w:right w:w="108" w:type="dxa"/>
          </w:tblCellMar>
        </w:tblPrEx>
        <w:trPr>
          <w:trHeight w:val="486"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hint="default" w:ascii="宋体" w:eastAsia="宋体" w:cs="宋体"/>
                <w:kern w:val="0"/>
                <w:sz w:val="24"/>
                <w:lang w:val="en-US" w:eastAsia="zh-CN"/>
              </w:rPr>
            </w:pPr>
            <w:r>
              <w:rPr>
                <w:rFonts w:hint="eastAsia" w:ascii="宋体" w:cs="宋体"/>
                <w:kern w:val="0"/>
                <w:sz w:val="24"/>
                <w:lang w:val="en-US" w:eastAsia="zh-CN"/>
              </w:rPr>
              <w:t>10</w:t>
            </w:r>
          </w:p>
        </w:tc>
        <w:tc>
          <w:tcPr>
            <w:tcW w:w="1951" w:type="dxa"/>
            <w:tcBorders>
              <w:top w:val="single" w:color="000000" w:sz="4" w:space="0"/>
              <w:left w:val="nil"/>
              <w:bottom w:val="single" w:color="000000" w:sz="4" w:space="0"/>
              <w:right w:val="single" w:color="000000" w:sz="4" w:space="0"/>
            </w:tcBorders>
            <w:vAlign w:val="center"/>
          </w:tcPr>
          <w:p>
            <w:pPr>
              <w:spacing w:line="360" w:lineRule="exact"/>
              <w:jc w:val="center"/>
              <w:rPr>
                <w:rFonts w:ascii="宋体"/>
                <w:szCs w:val="21"/>
                <w:shd w:val="clear" w:color="FFFFFF" w:fill="D9D9D9"/>
              </w:rPr>
            </w:pPr>
            <w:r>
              <w:rPr>
                <w:rFonts w:hint="eastAsia" w:ascii="宋体"/>
                <w:sz w:val="24"/>
              </w:rPr>
              <w:t>其他要求</w:t>
            </w:r>
          </w:p>
        </w:tc>
        <w:tc>
          <w:tcPr>
            <w:tcW w:w="6057" w:type="dxa"/>
            <w:tcBorders>
              <w:top w:val="single" w:color="000000" w:sz="4" w:space="0"/>
              <w:left w:val="nil"/>
              <w:bottom w:val="single" w:color="000000" w:sz="4" w:space="0"/>
              <w:right w:val="single" w:color="000000" w:sz="8" w:space="0"/>
            </w:tcBorders>
            <w:vAlign w:val="center"/>
          </w:tcPr>
          <w:p>
            <w:pPr>
              <w:pStyle w:val="10"/>
              <w:topLinePunct/>
              <w:spacing w:line="360" w:lineRule="exact"/>
              <w:rPr>
                <w:sz w:val="21"/>
                <w:szCs w:val="21"/>
              </w:rPr>
            </w:pPr>
            <w:r>
              <w:rPr>
                <w:rFonts w:hint="eastAsia"/>
                <w:sz w:val="21"/>
                <w:szCs w:val="21"/>
              </w:rPr>
              <w:t>/</w:t>
            </w:r>
          </w:p>
        </w:tc>
      </w:tr>
      <w:tr>
        <w:tblPrEx>
          <w:tblCellMar>
            <w:top w:w="0" w:type="dxa"/>
            <w:left w:w="108" w:type="dxa"/>
            <w:bottom w:w="0" w:type="dxa"/>
            <w:right w:w="108" w:type="dxa"/>
          </w:tblCellMar>
        </w:tblPrEx>
        <w:trPr>
          <w:trHeight w:val="979"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hint="default" w:ascii="宋体" w:eastAsia="宋体" w:cs="宋体"/>
                <w:kern w:val="0"/>
                <w:sz w:val="24"/>
                <w:lang w:val="en-US" w:eastAsia="zh-CN"/>
              </w:rPr>
            </w:pPr>
            <w:r>
              <w:rPr>
                <w:rFonts w:hint="eastAsia" w:ascii="宋体" w:cs="宋体"/>
                <w:kern w:val="0"/>
                <w:sz w:val="24"/>
                <w:lang w:val="en-US" w:eastAsia="zh-CN"/>
              </w:rPr>
              <w:t>11</w:t>
            </w:r>
          </w:p>
        </w:tc>
        <w:tc>
          <w:tcPr>
            <w:tcW w:w="1951"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开启响应文件</w:t>
            </w:r>
          </w:p>
        </w:tc>
        <w:tc>
          <w:tcPr>
            <w:tcW w:w="6057" w:type="dxa"/>
            <w:tcBorders>
              <w:top w:val="single" w:color="000000" w:sz="4" w:space="0"/>
              <w:left w:val="nil"/>
              <w:bottom w:val="single" w:color="000000" w:sz="4" w:space="0"/>
              <w:right w:val="single" w:color="000000" w:sz="8" w:space="0"/>
            </w:tcBorders>
            <w:vAlign w:val="center"/>
          </w:tcPr>
          <w:p>
            <w:pPr>
              <w:widowControl/>
              <w:spacing w:line="400" w:lineRule="exact"/>
              <w:rPr>
                <w:rFonts w:ascii="宋体" w:cs="宋体"/>
                <w:kern w:val="0"/>
                <w:sz w:val="24"/>
              </w:rPr>
            </w:pPr>
            <w:r>
              <w:rPr>
                <w:rFonts w:hint="eastAsia" w:ascii="宋体" w:cs="宋体"/>
                <w:kern w:val="0"/>
                <w:sz w:val="24"/>
              </w:rPr>
              <w:t>时间:同投标文件递交截止时间</w:t>
            </w:r>
          </w:p>
          <w:p>
            <w:pPr>
              <w:widowControl/>
              <w:spacing w:line="400" w:lineRule="exact"/>
              <w:rPr>
                <w:rFonts w:ascii="宋体" w:cs="宋体"/>
                <w:kern w:val="0"/>
                <w:sz w:val="24"/>
              </w:rPr>
            </w:pPr>
            <w:r>
              <w:rPr>
                <w:rFonts w:hint="eastAsia" w:ascii="宋体" w:cs="宋体"/>
                <w:kern w:val="0"/>
                <w:sz w:val="24"/>
              </w:rPr>
              <w:t>地点：石家庄市和平东路751号东配楼一楼会议室</w:t>
            </w:r>
          </w:p>
        </w:tc>
      </w:tr>
      <w:tr>
        <w:tblPrEx>
          <w:tblCellMar>
            <w:top w:w="0" w:type="dxa"/>
            <w:left w:w="108" w:type="dxa"/>
            <w:bottom w:w="0" w:type="dxa"/>
            <w:right w:w="108" w:type="dxa"/>
          </w:tblCellMar>
        </w:tblPrEx>
        <w:trPr>
          <w:trHeight w:val="895"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hint="default" w:ascii="宋体" w:eastAsia="宋体" w:cs="宋体"/>
                <w:kern w:val="0"/>
                <w:sz w:val="24"/>
                <w:lang w:val="en-US" w:eastAsia="zh-CN"/>
              </w:rPr>
            </w:pPr>
            <w:r>
              <w:rPr>
                <w:rFonts w:hint="eastAsia" w:ascii="宋体" w:cs="宋体"/>
                <w:kern w:val="0"/>
                <w:sz w:val="24"/>
                <w:lang w:val="en-US" w:eastAsia="zh-CN"/>
              </w:rPr>
              <w:t>12</w:t>
            </w:r>
          </w:p>
        </w:tc>
        <w:tc>
          <w:tcPr>
            <w:tcW w:w="1951"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kern w:val="0"/>
                <w:sz w:val="24"/>
              </w:rPr>
              <w:t>评审方法及标准</w:t>
            </w:r>
          </w:p>
        </w:tc>
        <w:tc>
          <w:tcPr>
            <w:tcW w:w="6057" w:type="dxa"/>
            <w:tcBorders>
              <w:top w:val="single" w:color="000000" w:sz="4" w:space="0"/>
              <w:left w:val="nil"/>
              <w:bottom w:val="single" w:color="000000" w:sz="4" w:space="0"/>
              <w:right w:val="single" w:color="000000" w:sz="8" w:space="0"/>
            </w:tcBorders>
            <w:vAlign w:val="center"/>
          </w:tcPr>
          <w:p>
            <w:pPr>
              <w:widowControl/>
              <w:spacing w:line="400" w:lineRule="exact"/>
              <w:rPr>
                <w:rFonts w:ascii="宋体" w:cs="宋体"/>
                <w:kern w:val="0"/>
                <w:sz w:val="24"/>
              </w:rPr>
            </w:pPr>
            <w:r>
              <w:rPr>
                <w:rFonts w:hint="eastAsia" w:ascii="宋体" w:cs="宋体"/>
                <w:kern w:val="0"/>
                <w:sz w:val="24"/>
              </w:rPr>
              <w:t>详见比选文件第三章。</w:t>
            </w:r>
          </w:p>
        </w:tc>
      </w:tr>
      <w:tr>
        <w:tblPrEx>
          <w:tblCellMar>
            <w:top w:w="0" w:type="dxa"/>
            <w:left w:w="108" w:type="dxa"/>
            <w:bottom w:w="0" w:type="dxa"/>
            <w:right w:w="108" w:type="dxa"/>
          </w:tblCellMar>
        </w:tblPrEx>
        <w:trPr>
          <w:trHeight w:val="929"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hint="default" w:ascii="宋体" w:eastAsia="宋体" w:cs="宋体"/>
                <w:kern w:val="0"/>
                <w:sz w:val="24"/>
                <w:lang w:val="en-US" w:eastAsia="zh-CN"/>
              </w:rPr>
            </w:pPr>
            <w:r>
              <w:rPr>
                <w:rFonts w:hint="eastAsia" w:ascii="宋体" w:cs="宋体"/>
                <w:kern w:val="0"/>
                <w:sz w:val="24"/>
                <w:lang w:val="en-US" w:eastAsia="zh-CN"/>
              </w:rPr>
              <w:t>13</w:t>
            </w:r>
          </w:p>
        </w:tc>
        <w:tc>
          <w:tcPr>
            <w:tcW w:w="195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cs="宋体"/>
                <w:sz w:val="24"/>
              </w:rPr>
            </w:pPr>
            <w:r>
              <w:rPr>
                <w:rFonts w:hint="eastAsia" w:ascii="宋体" w:cs="宋体"/>
                <w:sz w:val="24"/>
              </w:rPr>
              <w:t>评审委员会</w:t>
            </w:r>
          </w:p>
          <w:p>
            <w:pPr>
              <w:spacing w:line="400" w:lineRule="exact"/>
              <w:jc w:val="center"/>
              <w:rPr>
                <w:rFonts w:ascii="宋体" w:cs="宋体"/>
                <w:sz w:val="24"/>
              </w:rPr>
            </w:pPr>
            <w:r>
              <w:rPr>
                <w:rFonts w:hint="eastAsia" w:ascii="宋体" w:cs="宋体"/>
                <w:sz w:val="24"/>
              </w:rPr>
              <w:t>组成方式</w:t>
            </w:r>
          </w:p>
        </w:tc>
        <w:tc>
          <w:tcPr>
            <w:tcW w:w="6057" w:type="dxa"/>
            <w:tcBorders>
              <w:top w:val="single" w:color="000000" w:sz="4" w:space="0"/>
              <w:left w:val="nil"/>
              <w:bottom w:val="single" w:color="000000" w:sz="4" w:space="0"/>
              <w:right w:val="single" w:color="000000" w:sz="8" w:space="0"/>
            </w:tcBorders>
            <w:vAlign w:val="center"/>
          </w:tcPr>
          <w:p>
            <w:pPr>
              <w:spacing w:line="400" w:lineRule="exact"/>
              <w:rPr>
                <w:rFonts w:ascii="宋体" w:cs="宋体"/>
                <w:sz w:val="24"/>
              </w:rPr>
            </w:pPr>
            <w:r>
              <w:rPr>
                <w:rFonts w:hint="eastAsia" w:ascii="宋体" w:cs="宋体"/>
                <w:sz w:val="24"/>
              </w:rPr>
              <w:t>工程部、合规运营部、综合办公室等3人及以上单数组成</w:t>
            </w:r>
          </w:p>
        </w:tc>
      </w:tr>
      <w:tr>
        <w:tblPrEx>
          <w:tblCellMar>
            <w:top w:w="0" w:type="dxa"/>
            <w:left w:w="108" w:type="dxa"/>
            <w:bottom w:w="0" w:type="dxa"/>
            <w:right w:w="108" w:type="dxa"/>
          </w:tblCellMar>
        </w:tblPrEx>
        <w:trPr>
          <w:trHeight w:val="895"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hint="default" w:ascii="宋体" w:eastAsia="宋体" w:cs="宋体"/>
                <w:kern w:val="0"/>
                <w:sz w:val="24"/>
                <w:lang w:val="en-US" w:eastAsia="zh-CN"/>
              </w:rPr>
            </w:pPr>
            <w:r>
              <w:rPr>
                <w:rFonts w:hint="eastAsia" w:ascii="宋体" w:cs="宋体"/>
                <w:kern w:val="0"/>
                <w:sz w:val="24"/>
                <w:lang w:val="en-US" w:eastAsia="zh-CN"/>
              </w:rPr>
              <w:t>14</w:t>
            </w:r>
          </w:p>
        </w:tc>
        <w:tc>
          <w:tcPr>
            <w:tcW w:w="195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cs="宋体"/>
                <w:sz w:val="24"/>
              </w:rPr>
            </w:pPr>
            <w:r>
              <w:rPr>
                <w:rFonts w:hint="eastAsia" w:ascii="宋体" w:cs="宋体"/>
                <w:sz w:val="24"/>
              </w:rPr>
              <w:t>主要材料要求</w:t>
            </w:r>
          </w:p>
        </w:tc>
        <w:tc>
          <w:tcPr>
            <w:tcW w:w="6057" w:type="dxa"/>
            <w:tcBorders>
              <w:top w:val="single" w:color="000000" w:sz="4" w:space="0"/>
              <w:left w:val="nil"/>
              <w:bottom w:val="single" w:color="000000" w:sz="4" w:space="0"/>
              <w:right w:val="single" w:color="000000" w:sz="8" w:space="0"/>
            </w:tcBorders>
            <w:vAlign w:val="center"/>
          </w:tcPr>
          <w:p>
            <w:pPr>
              <w:spacing w:line="400" w:lineRule="exact"/>
              <w:rPr>
                <w:rFonts w:ascii="宋体" w:cs="宋体"/>
                <w:sz w:val="24"/>
              </w:rPr>
            </w:pPr>
            <w:r>
              <w:rPr>
                <w:rFonts w:hint="eastAsia" w:ascii="宋体" w:cs="宋体"/>
                <w:sz w:val="24"/>
              </w:rPr>
              <w:t>拟供应的主要材料应提供相应的技术支持资料。</w:t>
            </w:r>
          </w:p>
        </w:tc>
      </w:tr>
      <w:tr>
        <w:tblPrEx>
          <w:tblCellMar>
            <w:top w:w="0" w:type="dxa"/>
            <w:left w:w="108" w:type="dxa"/>
            <w:bottom w:w="0" w:type="dxa"/>
            <w:right w:w="108" w:type="dxa"/>
          </w:tblCellMar>
        </w:tblPrEx>
        <w:trPr>
          <w:trHeight w:val="580"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hint="default" w:ascii="宋体" w:eastAsia="宋体" w:cs="宋体"/>
                <w:kern w:val="0"/>
                <w:sz w:val="24"/>
                <w:lang w:val="en-US" w:eastAsia="zh-CN"/>
              </w:rPr>
            </w:pPr>
            <w:r>
              <w:rPr>
                <w:rFonts w:hint="eastAsia" w:ascii="宋体" w:cs="宋体"/>
                <w:kern w:val="0"/>
                <w:sz w:val="24"/>
                <w:lang w:val="en-US" w:eastAsia="zh-CN"/>
              </w:rPr>
              <w:t>15</w:t>
            </w:r>
          </w:p>
        </w:tc>
        <w:tc>
          <w:tcPr>
            <w:tcW w:w="195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cs="宋体"/>
                <w:sz w:val="24"/>
              </w:rPr>
            </w:pPr>
            <w:r>
              <w:rPr>
                <w:rFonts w:hint="eastAsia" w:ascii="宋体" w:cs="宋体"/>
                <w:sz w:val="24"/>
              </w:rPr>
              <w:t>响应文件有效期</w:t>
            </w:r>
          </w:p>
        </w:tc>
        <w:tc>
          <w:tcPr>
            <w:tcW w:w="6057" w:type="dxa"/>
            <w:tcBorders>
              <w:top w:val="single" w:color="000000" w:sz="4" w:space="0"/>
              <w:left w:val="nil"/>
              <w:bottom w:val="single" w:color="000000" w:sz="4" w:space="0"/>
              <w:right w:val="single" w:color="000000" w:sz="8" w:space="0"/>
            </w:tcBorders>
            <w:vAlign w:val="center"/>
          </w:tcPr>
          <w:p>
            <w:pPr>
              <w:spacing w:line="400" w:lineRule="exact"/>
              <w:rPr>
                <w:rFonts w:ascii="宋体" w:cs="宋体"/>
                <w:sz w:val="24"/>
              </w:rPr>
            </w:pPr>
            <w:r>
              <w:rPr>
                <w:rFonts w:hint="eastAsia" w:ascii="宋体" w:cs="宋体"/>
                <w:sz w:val="24"/>
              </w:rPr>
              <w:t>60天</w:t>
            </w:r>
          </w:p>
        </w:tc>
      </w:tr>
      <w:tr>
        <w:tblPrEx>
          <w:tblCellMar>
            <w:top w:w="0" w:type="dxa"/>
            <w:left w:w="108" w:type="dxa"/>
            <w:bottom w:w="0" w:type="dxa"/>
            <w:right w:w="108" w:type="dxa"/>
          </w:tblCellMar>
        </w:tblPrEx>
        <w:trPr>
          <w:trHeight w:val="2239" w:hRule="atLeast"/>
          <w:jc w:val="center"/>
        </w:trPr>
        <w:tc>
          <w:tcPr>
            <w:tcW w:w="760"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hint="default" w:ascii="宋体" w:eastAsia="宋体" w:cs="宋体"/>
                <w:kern w:val="0"/>
                <w:sz w:val="24"/>
                <w:lang w:val="en-US" w:eastAsia="zh-CN"/>
              </w:rPr>
            </w:pPr>
            <w:r>
              <w:rPr>
                <w:rFonts w:hint="eastAsia" w:ascii="宋体" w:cs="宋体"/>
                <w:kern w:val="0"/>
                <w:sz w:val="24"/>
                <w:lang w:val="en-US" w:eastAsia="zh-CN"/>
              </w:rPr>
              <w:t>16</w:t>
            </w:r>
          </w:p>
        </w:tc>
        <w:tc>
          <w:tcPr>
            <w:tcW w:w="1951"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cs="宋体"/>
                <w:kern w:val="0"/>
                <w:sz w:val="24"/>
              </w:rPr>
            </w:pPr>
            <w:r>
              <w:rPr>
                <w:rFonts w:hint="eastAsia" w:ascii="宋体" w:cs="宋体"/>
                <w:sz w:val="24"/>
              </w:rPr>
              <w:t>说  明</w:t>
            </w:r>
          </w:p>
        </w:tc>
        <w:tc>
          <w:tcPr>
            <w:tcW w:w="6057" w:type="dxa"/>
            <w:tcBorders>
              <w:top w:val="single" w:color="000000" w:sz="4" w:space="0"/>
              <w:left w:val="nil"/>
              <w:bottom w:val="single" w:color="000000" w:sz="4" w:space="0"/>
              <w:right w:val="single" w:color="000000" w:sz="8" w:space="0"/>
            </w:tcBorders>
            <w:vAlign w:val="center"/>
          </w:tcPr>
          <w:p>
            <w:pPr>
              <w:spacing w:line="400" w:lineRule="exact"/>
              <w:outlineLvl w:val="0"/>
              <w:rPr>
                <w:rFonts w:ascii="宋体" w:cs="宋体"/>
                <w:bCs/>
                <w:sz w:val="24"/>
              </w:rPr>
            </w:pPr>
            <w:bookmarkStart w:id="28" w:name="_Toc19455"/>
            <w:bookmarkStart w:id="29" w:name="_Toc30587"/>
            <w:bookmarkStart w:id="30" w:name="_Toc12125"/>
            <w:bookmarkStart w:id="31" w:name="_Toc13561"/>
            <w:bookmarkStart w:id="32" w:name="_Toc28535"/>
            <w:bookmarkStart w:id="33" w:name="_Toc26655"/>
            <w:bookmarkStart w:id="34" w:name="_Toc20694"/>
            <w:r>
              <w:rPr>
                <w:rFonts w:hint="eastAsia" w:ascii="宋体" w:cs="宋体"/>
                <w:bCs/>
                <w:sz w:val="24"/>
              </w:rPr>
              <w:t>本比选文件是用“</w:t>
            </w:r>
            <w:r>
              <w:rPr>
                <w:rFonts w:hint="eastAsia" w:ascii="宋体" w:cs="宋体"/>
                <w:b/>
                <w:sz w:val="24"/>
              </w:rPr>
              <w:t>黑体</w:t>
            </w:r>
            <w:r>
              <w:rPr>
                <w:rFonts w:hint="eastAsia" w:ascii="宋体" w:cs="宋体"/>
                <w:bCs/>
                <w:sz w:val="24"/>
              </w:rPr>
              <w:t>”字体标志的内容，均属于实质性要求和条件。</w:t>
            </w:r>
            <w:bookmarkEnd w:id="28"/>
            <w:bookmarkEnd w:id="29"/>
            <w:bookmarkEnd w:id="30"/>
            <w:bookmarkEnd w:id="31"/>
            <w:bookmarkEnd w:id="32"/>
            <w:bookmarkEnd w:id="33"/>
            <w:bookmarkEnd w:id="34"/>
          </w:p>
          <w:p>
            <w:pPr>
              <w:widowControl/>
              <w:spacing w:line="400" w:lineRule="exact"/>
              <w:rPr>
                <w:rFonts w:ascii="宋体" w:cs="宋体"/>
                <w:spacing w:val="4"/>
                <w:kern w:val="0"/>
                <w:sz w:val="24"/>
              </w:rPr>
            </w:pPr>
            <w:r>
              <w:rPr>
                <w:rFonts w:hint="eastAsia" w:ascii="宋体" w:cs="宋体"/>
                <w:bCs/>
                <w:sz w:val="24"/>
              </w:rPr>
              <w:t>响应文件存在不符合比选文件规定的实质性要求和条件的情况的，经评审委员会评审、确定后，其申请将被拒绝。</w:t>
            </w:r>
          </w:p>
        </w:tc>
      </w:tr>
    </w:tbl>
    <w:p>
      <w:pPr>
        <w:rPr>
          <w:rFonts w:ascii="宋体" w:cs="宋体"/>
          <w:b/>
          <w:bCs/>
          <w:kern w:val="0"/>
          <w:sz w:val="24"/>
        </w:rPr>
      </w:pPr>
      <w:r>
        <w:rPr>
          <w:rFonts w:hint="eastAsia" w:ascii="宋体" w:cs="宋体"/>
          <w:b/>
          <w:bCs/>
          <w:kern w:val="0"/>
          <w:sz w:val="24"/>
        </w:rPr>
        <w:br w:type="page"/>
      </w:r>
    </w:p>
    <w:p>
      <w:pPr>
        <w:widowControl/>
        <w:spacing w:line="360" w:lineRule="auto"/>
        <w:ind w:right="-506" w:rightChars="-241"/>
        <w:rPr>
          <w:rFonts w:ascii="宋体" w:cs="宋体"/>
          <w:b/>
          <w:bCs/>
          <w:kern w:val="0"/>
          <w:sz w:val="24"/>
        </w:rPr>
      </w:pPr>
      <w:bookmarkStart w:id="35" w:name="_Toc1433"/>
      <w:bookmarkStart w:id="36" w:name="_Toc14296"/>
      <w:bookmarkStart w:id="37" w:name="_Toc23909"/>
      <w:bookmarkStart w:id="38" w:name="_Toc18909"/>
      <w:bookmarkStart w:id="39" w:name="_Toc4359"/>
      <w:bookmarkStart w:id="40" w:name="_Toc421110024"/>
      <w:bookmarkStart w:id="41" w:name="_Toc28077"/>
      <w:bookmarkStart w:id="42" w:name="_Toc32441"/>
      <w:r>
        <w:rPr>
          <w:rFonts w:hint="eastAsia" w:ascii="宋体" w:cs="宋体"/>
          <w:b/>
          <w:bCs/>
          <w:kern w:val="0"/>
          <w:sz w:val="24"/>
        </w:rPr>
        <w:t>1、响应文件</w:t>
      </w:r>
    </w:p>
    <w:p>
      <w:pPr>
        <w:widowControl/>
        <w:spacing w:line="360" w:lineRule="auto"/>
        <w:ind w:right="-506" w:rightChars="-241" w:firstLine="480" w:firstLineChars="200"/>
        <w:rPr>
          <w:rFonts w:ascii="宋体" w:cs="宋体"/>
          <w:kern w:val="0"/>
          <w:sz w:val="24"/>
        </w:rPr>
      </w:pPr>
      <w:r>
        <w:rPr>
          <w:rFonts w:hint="eastAsia" w:ascii="宋体" w:cs="宋体"/>
          <w:kern w:val="0"/>
          <w:sz w:val="24"/>
        </w:rPr>
        <w:t>参选人应仔细阅读比选文件，按比选文件的规定和第五章要求的格式编写响应文件。</w:t>
      </w:r>
    </w:p>
    <w:p>
      <w:pPr>
        <w:widowControl/>
        <w:numPr>
          <w:ilvl w:val="0"/>
          <w:numId w:val="1"/>
        </w:numPr>
        <w:spacing w:line="360" w:lineRule="auto"/>
        <w:ind w:right="-506" w:rightChars="-241"/>
        <w:rPr>
          <w:rFonts w:ascii="宋体" w:cs="宋体"/>
          <w:b/>
          <w:bCs/>
          <w:kern w:val="0"/>
          <w:sz w:val="24"/>
        </w:rPr>
      </w:pPr>
      <w:r>
        <w:rPr>
          <w:rFonts w:hint="eastAsia" w:ascii="宋体" w:cs="宋体"/>
          <w:b/>
          <w:bCs/>
          <w:kern w:val="0"/>
          <w:sz w:val="24"/>
        </w:rPr>
        <w:t>报价</w:t>
      </w:r>
    </w:p>
    <w:p>
      <w:pPr>
        <w:pStyle w:val="24"/>
        <w:ind w:firstLine="528"/>
        <w:rPr>
          <w:rFonts w:ascii="宋体" w:cs="宋体"/>
          <w:b/>
          <w:bCs/>
        </w:rPr>
      </w:pPr>
      <w:r>
        <w:rPr>
          <w:rFonts w:hint="eastAsia"/>
        </w:rPr>
        <w:t>符合性低价中标原则，</w:t>
      </w:r>
      <w:r>
        <w:rPr>
          <w:rFonts w:hint="eastAsia"/>
          <w:lang w:eastAsia="zh-CN"/>
        </w:rPr>
        <w:t>响应文件</w:t>
      </w:r>
      <w:r>
        <w:rPr>
          <w:rFonts w:hint="eastAsia"/>
        </w:rPr>
        <w:t>明显低于成本价视为无效报价。如有需要</w:t>
      </w:r>
      <w:r>
        <w:rPr>
          <w:rFonts w:hint="eastAsia"/>
          <w:lang w:eastAsia="zh-CN"/>
        </w:rPr>
        <w:t>参选人</w:t>
      </w:r>
      <w:r>
        <w:rPr>
          <w:rFonts w:hint="eastAsia"/>
        </w:rPr>
        <w:t>在合理时间内到达开标现场进行第二次报价。（详见第三章评审办法）</w:t>
      </w:r>
    </w:p>
    <w:p>
      <w:pPr>
        <w:widowControl/>
        <w:spacing w:line="360" w:lineRule="auto"/>
        <w:ind w:right="-506" w:rightChars="-241"/>
        <w:rPr>
          <w:rFonts w:ascii="宋体" w:cs="宋体"/>
          <w:b/>
          <w:bCs/>
          <w:kern w:val="0"/>
          <w:sz w:val="24"/>
        </w:rPr>
      </w:pPr>
      <w:r>
        <w:rPr>
          <w:rFonts w:hint="eastAsia" w:ascii="宋体" w:cs="宋体"/>
          <w:b/>
          <w:bCs/>
          <w:kern w:val="0"/>
          <w:sz w:val="24"/>
        </w:rPr>
        <w:t>3、响应文件</w:t>
      </w:r>
    </w:p>
    <w:p>
      <w:pPr>
        <w:widowControl/>
        <w:spacing w:line="360" w:lineRule="auto"/>
        <w:ind w:left="-420" w:leftChars="-200" w:right="-506" w:rightChars="-241" w:firstLine="960" w:firstLineChars="400"/>
        <w:rPr>
          <w:rFonts w:ascii="黑体" w:eastAsia="黑体" w:cs="黑体"/>
          <w:kern w:val="0"/>
          <w:sz w:val="24"/>
        </w:rPr>
      </w:pPr>
      <w:r>
        <w:rPr>
          <w:rFonts w:hint="eastAsia" w:ascii="黑体" w:eastAsia="黑体" w:cs="黑体"/>
          <w:kern w:val="0"/>
          <w:sz w:val="24"/>
        </w:rPr>
        <w:t>3.1、响应文件的编制</w:t>
      </w:r>
    </w:p>
    <w:p>
      <w:pPr>
        <w:widowControl/>
        <w:spacing w:line="360" w:lineRule="auto"/>
        <w:ind w:left="-420" w:leftChars="-200" w:right="-506" w:rightChars="-241" w:firstLine="960" w:firstLineChars="400"/>
        <w:rPr>
          <w:rFonts w:ascii="黑体" w:eastAsia="黑体" w:cs="黑体"/>
          <w:kern w:val="0"/>
          <w:sz w:val="24"/>
        </w:rPr>
      </w:pPr>
      <w:r>
        <w:rPr>
          <w:rFonts w:hint="eastAsia" w:ascii="黑体" w:eastAsia="黑体" w:cs="黑体"/>
          <w:kern w:val="0"/>
          <w:sz w:val="24"/>
        </w:rPr>
        <w:t>3.1.1响应文件的格式</w:t>
      </w:r>
    </w:p>
    <w:p>
      <w:pPr>
        <w:widowControl/>
        <w:spacing w:line="360" w:lineRule="auto"/>
        <w:ind w:right="-506" w:rightChars="-241" w:firstLine="480" w:firstLineChars="200"/>
        <w:rPr>
          <w:rFonts w:ascii="黑体" w:eastAsia="黑体" w:cs="黑体"/>
          <w:kern w:val="0"/>
          <w:sz w:val="24"/>
        </w:rPr>
      </w:pPr>
      <w:r>
        <w:rPr>
          <w:rFonts w:hint="eastAsia" w:ascii="黑体" w:eastAsia="黑体" w:cs="黑体"/>
          <w:kern w:val="0"/>
          <w:sz w:val="24"/>
        </w:rPr>
        <w:t>响应文件应按第五章“响应文件格式”进行编写。本比选文件要求的证明文件，参选人必须提供，本比选文件没有要求的证明文件，参选人认为需要提供的，也可以提供。</w:t>
      </w:r>
    </w:p>
    <w:p>
      <w:pPr>
        <w:widowControl/>
        <w:spacing w:line="360" w:lineRule="auto"/>
        <w:ind w:left="-420" w:leftChars="-200" w:right="-506" w:rightChars="-241" w:firstLine="960" w:firstLineChars="400"/>
        <w:rPr>
          <w:rFonts w:ascii="黑体" w:eastAsia="黑体" w:cs="黑体"/>
          <w:kern w:val="0"/>
          <w:sz w:val="24"/>
        </w:rPr>
      </w:pPr>
      <w:r>
        <w:rPr>
          <w:rFonts w:hint="eastAsia" w:ascii="黑体" w:eastAsia="黑体" w:cs="黑体"/>
          <w:kern w:val="0"/>
          <w:sz w:val="24"/>
        </w:rPr>
        <w:t>3.1.2响应文件应全部用不褪色的墨水（粉）书写或打印，不得有任何涂改。</w:t>
      </w:r>
    </w:p>
    <w:p>
      <w:pPr>
        <w:widowControl/>
        <w:spacing w:line="360" w:lineRule="auto"/>
        <w:ind w:left="-420" w:leftChars="-200" w:right="-506" w:rightChars="-241" w:firstLine="960" w:firstLineChars="400"/>
        <w:rPr>
          <w:rFonts w:ascii="黑体" w:eastAsia="黑体" w:cs="黑体"/>
          <w:kern w:val="0"/>
          <w:sz w:val="24"/>
        </w:rPr>
      </w:pPr>
      <w:r>
        <w:rPr>
          <w:rFonts w:hint="eastAsia" w:ascii="黑体" w:eastAsia="黑体" w:cs="黑体"/>
          <w:kern w:val="0"/>
          <w:sz w:val="24"/>
        </w:rPr>
        <w:t>3.2响应文件的签署</w:t>
      </w:r>
    </w:p>
    <w:p>
      <w:pPr>
        <w:widowControl/>
        <w:spacing w:line="360" w:lineRule="auto"/>
        <w:ind w:right="-506" w:rightChars="-241" w:firstLine="480" w:firstLineChars="200"/>
        <w:rPr>
          <w:rFonts w:ascii="黑体" w:eastAsia="黑体" w:cs="黑体"/>
          <w:kern w:val="0"/>
          <w:sz w:val="24"/>
        </w:rPr>
      </w:pPr>
      <w:r>
        <w:rPr>
          <w:rFonts w:hint="eastAsia" w:ascii="黑体" w:eastAsia="黑体" w:cs="黑体"/>
          <w:kern w:val="0"/>
          <w:sz w:val="24"/>
        </w:rPr>
        <w:t>3.2.1参选人应在响应文件封面加盖单位公章，法定代表人应签字或加盖印鉴，否则响应文件无效。</w:t>
      </w:r>
    </w:p>
    <w:p>
      <w:pPr>
        <w:widowControl/>
        <w:spacing w:line="360" w:lineRule="auto"/>
        <w:ind w:right="-506" w:rightChars="-241" w:firstLine="480" w:firstLineChars="200"/>
        <w:rPr>
          <w:rFonts w:ascii="黑体" w:eastAsia="黑体" w:cs="黑体"/>
          <w:kern w:val="0"/>
          <w:sz w:val="24"/>
        </w:rPr>
      </w:pPr>
      <w:r>
        <w:rPr>
          <w:rFonts w:hint="eastAsia" w:ascii="黑体" w:eastAsia="黑体" w:cs="黑体"/>
          <w:kern w:val="0"/>
          <w:sz w:val="24"/>
        </w:rPr>
        <w:t>3.2.2</w:t>
      </w:r>
      <w:r>
        <w:rPr>
          <w:rFonts w:hint="eastAsia" w:ascii="黑体" w:eastAsia="黑体" w:cs="黑体"/>
          <w:bCs/>
          <w:kern w:val="0"/>
          <w:sz w:val="24"/>
          <w:lang w:val="zh-CN"/>
        </w:rPr>
        <w:t>法定代表人身份证明</w:t>
      </w:r>
      <w:r>
        <w:rPr>
          <w:rFonts w:hint="eastAsia" w:ascii="黑体" w:eastAsia="黑体" w:cs="黑体"/>
          <w:kern w:val="0"/>
          <w:sz w:val="24"/>
        </w:rPr>
        <w:t>内容不全、未加盖参选人单位公章的按无效处理（适用于法定代表人参加比选）；法定代表授权书内容不全、未加盖参选人单位公章、法定代表人未签字或加盖印鉴的按无效处理（适用于委托代理人参加比选）。</w:t>
      </w:r>
    </w:p>
    <w:p>
      <w:pPr>
        <w:widowControl/>
        <w:spacing w:line="360" w:lineRule="auto"/>
        <w:ind w:left="-420" w:leftChars="-200" w:right="-506" w:rightChars="-241" w:firstLine="960" w:firstLineChars="400"/>
        <w:rPr>
          <w:rFonts w:ascii="黑体" w:eastAsia="黑体" w:cs="黑体"/>
          <w:kern w:val="0"/>
          <w:sz w:val="24"/>
        </w:rPr>
      </w:pPr>
      <w:r>
        <w:rPr>
          <w:rFonts w:hint="eastAsia" w:ascii="黑体" w:eastAsia="黑体" w:cs="黑体"/>
          <w:kern w:val="0"/>
          <w:sz w:val="24"/>
        </w:rPr>
        <w:t>3.3响应文件的递交</w:t>
      </w:r>
    </w:p>
    <w:p>
      <w:pPr>
        <w:widowControl/>
        <w:spacing w:line="360" w:lineRule="auto"/>
        <w:ind w:right="-506" w:rightChars="-241" w:firstLine="480" w:firstLineChars="200"/>
        <w:rPr>
          <w:rFonts w:ascii="黑体" w:eastAsia="黑体" w:cs="黑体"/>
          <w:kern w:val="0"/>
          <w:sz w:val="24"/>
        </w:rPr>
      </w:pPr>
      <w:r>
        <w:rPr>
          <w:rFonts w:hint="eastAsia" w:ascii="黑体" w:eastAsia="黑体" w:cs="黑体"/>
          <w:kern w:val="0"/>
          <w:sz w:val="24"/>
        </w:rPr>
        <w:t>响应文件应该在</w:t>
      </w:r>
      <w:r>
        <w:rPr>
          <w:rFonts w:hint="eastAsia" w:ascii="黑体" w:eastAsia="黑体" w:cs="黑体"/>
          <w:kern w:val="0"/>
          <w:sz w:val="24"/>
          <w:lang w:eastAsia="zh-CN"/>
        </w:rPr>
        <w:t>《</w:t>
      </w:r>
      <w:r>
        <w:rPr>
          <w:rFonts w:hint="eastAsia" w:ascii="黑体" w:eastAsia="黑体" w:cs="黑体"/>
          <w:kern w:val="0"/>
          <w:sz w:val="24"/>
        </w:rPr>
        <w:t>参选人须知前附表</w:t>
      </w:r>
      <w:r>
        <w:rPr>
          <w:rFonts w:hint="eastAsia" w:ascii="黑体" w:eastAsia="黑体" w:cs="黑体"/>
          <w:kern w:val="0"/>
          <w:sz w:val="24"/>
          <w:lang w:eastAsia="zh-CN"/>
        </w:rPr>
        <w:t>》</w:t>
      </w:r>
      <w:r>
        <w:rPr>
          <w:rFonts w:hint="eastAsia" w:ascii="黑体" w:eastAsia="黑体" w:cs="黑体"/>
          <w:kern w:val="0"/>
          <w:sz w:val="24"/>
        </w:rPr>
        <w:t>中规定的响应文件提交截止时间前提交。逾期送达的响应文件将</w:t>
      </w:r>
      <w:r>
        <w:rPr>
          <w:rFonts w:hint="eastAsia" w:ascii="黑体" w:eastAsia="黑体" w:cs="黑体"/>
          <w:kern w:val="0"/>
          <w:sz w:val="24"/>
          <w:lang w:eastAsia="zh-CN"/>
        </w:rPr>
        <w:t>视为无效报价</w:t>
      </w:r>
      <w:r>
        <w:rPr>
          <w:rFonts w:hint="eastAsia" w:ascii="黑体" w:eastAsia="黑体" w:cs="黑体"/>
          <w:kern w:val="0"/>
          <w:sz w:val="24"/>
        </w:rPr>
        <w:t>。</w:t>
      </w:r>
    </w:p>
    <w:p>
      <w:pPr>
        <w:widowControl/>
        <w:spacing w:line="360" w:lineRule="auto"/>
        <w:ind w:right="-506" w:rightChars="-241" w:firstLine="482" w:firstLineChars="200"/>
        <w:rPr>
          <w:rFonts w:ascii="宋体" w:cs="宋体"/>
          <w:b/>
          <w:bCs/>
          <w:kern w:val="0"/>
          <w:sz w:val="24"/>
        </w:rPr>
      </w:pPr>
      <w:r>
        <w:rPr>
          <w:rFonts w:hint="eastAsia" w:ascii="宋体" w:cs="宋体"/>
          <w:b/>
          <w:bCs/>
          <w:kern w:val="0"/>
          <w:sz w:val="24"/>
        </w:rPr>
        <w:t>4、评审</w:t>
      </w:r>
      <w:bookmarkEnd w:id="35"/>
      <w:bookmarkEnd w:id="36"/>
      <w:bookmarkEnd w:id="37"/>
      <w:bookmarkEnd w:id="38"/>
      <w:bookmarkEnd w:id="39"/>
      <w:bookmarkEnd w:id="40"/>
      <w:bookmarkEnd w:id="41"/>
      <w:bookmarkEnd w:id="42"/>
    </w:p>
    <w:p>
      <w:pPr>
        <w:widowControl/>
        <w:spacing w:line="360" w:lineRule="auto"/>
        <w:ind w:right="-506" w:rightChars="-241" w:firstLine="480" w:firstLineChars="200"/>
        <w:rPr>
          <w:rFonts w:ascii="宋体" w:cs="宋体"/>
          <w:kern w:val="0"/>
          <w:sz w:val="24"/>
        </w:rPr>
      </w:pPr>
      <w:r>
        <w:rPr>
          <w:rFonts w:hint="eastAsia" w:ascii="宋体" w:cs="宋体"/>
          <w:kern w:val="0"/>
          <w:sz w:val="24"/>
        </w:rPr>
        <w:t>4.1评审委员会组成</w:t>
      </w:r>
    </w:p>
    <w:p>
      <w:pPr>
        <w:widowControl/>
        <w:spacing w:line="360" w:lineRule="auto"/>
        <w:ind w:left="-420" w:leftChars="-200" w:right="-506" w:rightChars="-241" w:firstLine="960" w:firstLineChars="400"/>
        <w:rPr>
          <w:rFonts w:ascii="宋体" w:cs="宋体"/>
          <w:kern w:val="0"/>
          <w:sz w:val="24"/>
        </w:rPr>
      </w:pPr>
      <w:r>
        <w:rPr>
          <w:rFonts w:hint="eastAsia" w:ascii="宋体" w:cs="宋体"/>
          <w:kern w:val="0"/>
          <w:sz w:val="24"/>
        </w:rPr>
        <w:t>由参选人须知前附表规定的方式产生。</w:t>
      </w:r>
    </w:p>
    <w:p>
      <w:pPr>
        <w:widowControl/>
        <w:spacing w:line="360" w:lineRule="auto"/>
        <w:ind w:left="-420" w:leftChars="-200" w:right="-506" w:rightChars="-241" w:firstLine="960" w:firstLineChars="400"/>
        <w:rPr>
          <w:rFonts w:ascii="宋体" w:cs="宋体"/>
          <w:kern w:val="0"/>
          <w:sz w:val="24"/>
          <w:highlight w:val="none"/>
        </w:rPr>
      </w:pPr>
      <w:r>
        <w:rPr>
          <w:rFonts w:hint="eastAsia" w:ascii="宋体" w:cs="宋体"/>
          <w:kern w:val="0"/>
          <w:sz w:val="24"/>
        </w:rPr>
        <w:t>4.2 比选活动接</w:t>
      </w:r>
      <w:r>
        <w:rPr>
          <w:rFonts w:hint="eastAsia" w:ascii="宋体" w:cs="宋体"/>
          <w:kern w:val="0"/>
          <w:sz w:val="24"/>
          <w:highlight w:val="none"/>
        </w:rPr>
        <w:t>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widowControl/>
        <w:spacing w:line="360" w:lineRule="auto"/>
        <w:ind w:left="-420" w:leftChars="-200" w:right="-506" w:rightChars="-241" w:firstLine="960" w:firstLineChars="400"/>
        <w:rPr>
          <w:rFonts w:ascii="宋体" w:cs="宋体"/>
          <w:kern w:val="0"/>
          <w:sz w:val="24"/>
          <w:highlight w:val="none"/>
        </w:rPr>
      </w:pPr>
      <w:r>
        <w:rPr>
          <w:rFonts w:hint="eastAsia" w:ascii="宋体" w:cs="宋体"/>
          <w:kern w:val="0"/>
          <w:sz w:val="24"/>
          <w:highlight w:val="none"/>
        </w:rPr>
        <w:t>4.3 比选程序</w:t>
      </w:r>
    </w:p>
    <w:p>
      <w:pPr>
        <w:widowControl/>
        <w:spacing w:line="360" w:lineRule="auto"/>
        <w:ind w:right="-506" w:rightChars="-241" w:firstLine="480" w:firstLineChars="200"/>
        <w:rPr>
          <w:rFonts w:ascii="宋体" w:cs="宋体"/>
          <w:kern w:val="0"/>
          <w:sz w:val="24"/>
        </w:rPr>
      </w:pPr>
      <w:r>
        <w:rPr>
          <w:rFonts w:hint="eastAsia" w:ascii="宋体" w:cs="宋体"/>
          <w:kern w:val="0"/>
          <w:sz w:val="24"/>
          <w:highlight w:val="none"/>
        </w:rPr>
        <w:t>发布人在监督部门监督的情况下，在比选文件规定地点、时间，按照以下</w:t>
      </w:r>
      <w:r>
        <w:rPr>
          <w:rFonts w:hint="eastAsia" w:ascii="宋体" w:cs="宋体"/>
          <w:kern w:val="0"/>
          <w:sz w:val="24"/>
        </w:rPr>
        <w:t>程序进行：</w:t>
      </w:r>
    </w:p>
    <w:p>
      <w:pPr>
        <w:widowControl/>
        <w:spacing w:line="360" w:lineRule="auto"/>
        <w:ind w:right="-506" w:rightChars="-241"/>
        <w:rPr>
          <w:rFonts w:ascii="宋体" w:cs="宋体"/>
          <w:kern w:val="0"/>
          <w:sz w:val="24"/>
        </w:rPr>
      </w:pPr>
      <w:r>
        <w:rPr>
          <w:rFonts w:ascii="宋体" w:cs="宋体"/>
          <w:kern w:val="0"/>
          <w:sz w:val="24"/>
        </w:rPr>
        <w:t>对</w:t>
      </w:r>
      <w:r>
        <w:rPr>
          <w:rFonts w:hint="eastAsia" w:ascii="宋体" w:cs="宋体"/>
          <w:kern w:val="0"/>
          <w:sz w:val="24"/>
        </w:rPr>
        <w:t>响应</w:t>
      </w:r>
      <w:r>
        <w:rPr>
          <w:rFonts w:ascii="宋体" w:cs="宋体"/>
          <w:kern w:val="0"/>
          <w:sz w:val="24"/>
        </w:rPr>
        <w:t>文件进行审查，剔除无效</w:t>
      </w:r>
      <w:r>
        <w:rPr>
          <w:rFonts w:hint="eastAsia" w:ascii="宋体" w:cs="宋体"/>
          <w:kern w:val="0"/>
          <w:sz w:val="24"/>
        </w:rPr>
        <w:t>响应</w:t>
      </w:r>
      <w:r>
        <w:rPr>
          <w:rFonts w:ascii="宋体" w:cs="宋体"/>
          <w:kern w:val="0"/>
          <w:sz w:val="24"/>
        </w:rPr>
        <w:t>文件；</w:t>
      </w:r>
    </w:p>
    <w:p>
      <w:pPr>
        <w:widowControl/>
        <w:spacing w:line="360" w:lineRule="auto"/>
        <w:ind w:left="-420" w:leftChars="-200" w:right="-506" w:rightChars="-241" w:firstLine="960" w:firstLineChars="400"/>
        <w:rPr>
          <w:rFonts w:ascii="宋体" w:cs="宋体"/>
          <w:kern w:val="0"/>
          <w:sz w:val="24"/>
        </w:rPr>
      </w:pPr>
      <w:r>
        <w:rPr>
          <w:rFonts w:hint="eastAsia" w:ascii="宋体" w:cs="宋体"/>
          <w:kern w:val="0"/>
          <w:sz w:val="24"/>
        </w:rPr>
        <w:t>符合下列条件之一的为无效响应文件：</w:t>
      </w:r>
    </w:p>
    <w:p>
      <w:pPr>
        <w:widowControl/>
        <w:spacing w:line="360" w:lineRule="auto"/>
        <w:ind w:left="-420" w:leftChars="-200" w:right="-506" w:rightChars="-241" w:firstLine="960" w:firstLineChars="400"/>
        <w:rPr>
          <w:rFonts w:ascii="黑体" w:eastAsia="黑体" w:cs="黑体"/>
          <w:kern w:val="0"/>
          <w:sz w:val="24"/>
        </w:rPr>
      </w:pPr>
      <w:bookmarkStart w:id="43" w:name="_Toc8080"/>
      <w:bookmarkStart w:id="44" w:name="_Toc10560"/>
      <w:bookmarkStart w:id="45" w:name="_Toc421110025"/>
      <w:bookmarkStart w:id="46" w:name="_Toc6087"/>
      <w:bookmarkStart w:id="47" w:name="_Toc627"/>
      <w:bookmarkStart w:id="48" w:name="_Toc18018"/>
      <w:bookmarkStart w:id="49" w:name="_Toc7550"/>
      <w:bookmarkStart w:id="50" w:name="_Toc15232"/>
      <w:r>
        <w:rPr>
          <w:rFonts w:hint="eastAsia" w:ascii="黑体" w:eastAsia="黑体" w:cs="黑体"/>
          <w:kern w:val="0"/>
          <w:sz w:val="24"/>
        </w:rPr>
        <w:t>1</w:t>
      </w:r>
      <w:r>
        <w:rPr>
          <w:rFonts w:hint="eastAsia" w:ascii="黑体" w:eastAsia="黑体" w:cs="黑体"/>
          <w:kern w:val="0"/>
          <w:sz w:val="24"/>
          <w:lang w:eastAsia="zh-CN"/>
        </w:rPr>
        <w:t>）</w:t>
      </w:r>
      <w:r>
        <w:rPr>
          <w:rFonts w:hint="eastAsia" w:ascii="黑体" w:eastAsia="黑体" w:cs="黑体"/>
          <w:kern w:val="0"/>
          <w:sz w:val="24"/>
        </w:rPr>
        <w:t>、未按“响应文件格式”要求进行编写的；</w:t>
      </w:r>
    </w:p>
    <w:p>
      <w:pPr>
        <w:widowControl/>
        <w:spacing w:line="360" w:lineRule="auto"/>
        <w:ind w:left="-420" w:leftChars="-200" w:right="-506" w:rightChars="-241" w:firstLine="960" w:firstLineChars="400"/>
        <w:rPr>
          <w:rFonts w:ascii="黑体" w:eastAsia="黑体" w:cs="黑体"/>
          <w:kern w:val="0"/>
          <w:sz w:val="24"/>
        </w:rPr>
      </w:pPr>
      <w:r>
        <w:rPr>
          <w:rFonts w:hint="eastAsia" w:ascii="黑体" w:eastAsia="黑体" w:cs="黑体"/>
          <w:kern w:val="0"/>
          <w:sz w:val="24"/>
        </w:rPr>
        <w:t>2</w:t>
      </w:r>
      <w:r>
        <w:rPr>
          <w:rFonts w:hint="eastAsia" w:ascii="黑体" w:eastAsia="黑体" w:cs="黑体"/>
          <w:kern w:val="0"/>
          <w:sz w:val="24"/>
          <w:lang w:eastAsia="zh-CN"/>
        </w:rPr>
        <w:t>）</w:t>
      </w:r>
      <w:r>
        <w:rPr>
          <w:rFonts w:hint="eastAsia" w:ascii="黑体" w:eastAsia="黑体" w:cs="黑体"/>
          <w:kern w:val="0"/>
          <w:sz w:val="24"/>
        </w:rPr>
        <w:t>、资格要求不符合比选文件要求的；</w:t>
      </w:r>
    </w:p>
    <w:p>
      <w:pPr>
        <w:widowControl/>
        <w:spacing w:line="360" w:lineRule="auto"/>
        <w:ind w:left="-420" w:leftChars="-200" w:right="-506" w:rightChars="-241" w:firstLine="960" w:firstLineChars="400"/>
        <w:rPr>
          <w:rFonts w:ascii="黑体" w:eastAsia="黑体" w:cs="黑体"/>
          <w:kern w:val="0"/>
          <w:sz w:val="24"/>
        </w:rPr>
      </w:pPr>
      <w:r>
        <w:rPr>
          <w:rFonts w:hint="eastAsia" w:ascii="黑体" w:eastAsia="黑体" w:cs="黑体"/>
          <w:kern w:val="0"/>
          <w:sz w:val="24"/>
        </w:rPr>
        <w:t>3</w:t>
      </w:r>
      <w:r>
        <w:rPr>
          <w:rFonts w:hint="eastAsia" w:ascii="黑体" w:eastAsia="黑体" w:cs="黑体"/>
          <w:kern w:val="0"/>
          <w:sz w:val="24"/>
          <w:lang w:eastAsia="zh-CN"/>
        </w:rPr>
        <w:t>）</w:t>
      </w:r>
      <w:r>
        <w:rPr>
          <w:rFonts w:hint="eastAsia" w:ascii="黑体" w:eastAsia="黑体" w:cs="黑体"/>
          <w:kern w:val="0"/>
          <w:sz w:val="24"/>
        </w:rPr>
        <w:t>、未按3.2条规定盖章或签字的；</w:t>
      </w:r>
    </w:p>
    <w:p>
      <w:pPr>
        <w:widowControl/>
        <w:spacing w:line="360" w:lineRule="auto"/>
        <w:ind w:left="-420" w:leftChars="-200" w:right="-506" w:rightChars="-241" w:firstLine="960" w:firstLineChars="400"/>
        <w:rPr>
          <w:rFonts w:ascii="宋体" w:eastAsia="黑体" w:cs="宋体"/>
          <w:kern w:val="0"/>
          <w:sz w:val="24"/>
        </w:rPr>
      </w:pPr>
      <w:r>
        <w:rPr>
          <w:rFonts w:hint="eastAsia" w:ascii="黑体" w:eastAsia="黑体" w:cs="黑体"/>
          <w:kern w:val="0"/>
          <w:sz w:val="24"/>
        </w:rPr>
        <w:t>4</w:t>
      </w:r>
      <w:r>
        <w:rPr>
          <w:rFonts w:hint="eastAsia" w:ascii="黑体" w:eastAsia="黑体" w:cs="黑体"/>
          <w:kern w:val="0"/>
          <w:sz w:val="24"/>
          <w:lang w:eastAsia="zh-CN"/>
        </w:rPr>
        <w:t>）</w:t>
      </w:r>
      <w:r>
        <w:rPr>
          <w:rFonts w:hint="eastAsia" w:ascii="黑体" w:eastAsia="黑体" w:cs="黑体"/>
          <w:kern w:val="0"/>
          <w:sz w:val="24"/>
        </w:rPr>
        <w:t xml:space="preserve">、发现在参选过程中有弄虚作假情形的。 </w:t>
      </w:r>
    </w:p>
    <w:p>
      <w:pPr>
        <w:widowControl/>
        <w:spacing w:line="360" w:lineRule="auto"/>
        <w:ind w:right="-506" w:rightChars="-241" w:firstLine="482" w:firstLineChars="200"/>
        <w:rPr>
          <w:rFonts w:ascii="宋体" w:cs="宋体"/>
          <w:b/>
          <w:bCs/>
          <w:kern w:val="0"/>
          <w:sz w:val="24"/>
        </w:rPr>
      </w:pPr>
      <w:r>
        <w:rPr>
          <w:rFonts w:hint="eastAsia" w:ascii="宋体" w:cs="宋体"/>
          <w:b/>
          <w:bCs/>
          <w:kern w:val="0"/>
          <w:sz w:val="24"/>
        </w:rPr>
        <w:t>5、中选</w:t>
      </w:r>
    </w:p>
    <w:bookmarkEnd w:id="43"/>
    <w:bookmarkEnd w:id="44"/>
    <w:bookmarkEnd w:id="45"/>
    <w:bookmarkEnd w:id="46"/>
    <w:bookmarkEnd w:id="47"/>
    <w:bookmarkEnd w:id="48"/>
    <w:bookmarkEnd w:id="49"/>
    <w:bookmarkEnd w:id="50"/>
    <w:p>
      <w:pPr>
        <w:widowControl/>
        <w:spacing w:line="360" w:lineRule="auto"/>
        <w:ind w:right="-506" w:rightChars="-241" w:firstLine="480" w:firstLineChars="200"/>
        <w:rPr>
          <w:rFonts w:ascii="宋体" w:cs="宋体"/>
          <w:kern w:val="0"/>
          <w:sz w:val="24"/>
        </w:rPr>
      </w:pPr>
      <w:bookmarkStart w:id="51" w:name="_Toc12747"/>
      <w:bookmarkStart w:id="52" w:name="_Toc16541"/>
      <w:bookmarkStart w:id="53" w:name="_Toc4460"/>
      <w:bookmarkStart w:id="54" w:name="_Toc24327"/>
      <w:bookmarkStart w:id="55" w:name="_Toc20463"/>
      <w:bookmarkStart w:id="56" w:name="_Toc26971"/>
      <w:bookmarkStart w:id="57" w:name="_Toc29818"/>
      <w:bookmarkStart w:id="58" w:name="_Toc7450"/>
      <w:bookmarkStart w:id="59" w:name="_Toc2493"/>
      <w:r>
        <w:rPr>
          <w:rFonts w:hint="eastAsia" w:ascii="宋体" w:cs="宋体"/>
          <w:kern w:val="0"/>
          <w:sz w:val="24"/>
        </w:rPr>
        <w:t>5.1发布人根据评审委员会推荐的参选人确定中选单位，并应向中选单位发出中选通知书。</w:t>
      </w:r>
    </w:p>
    <w:p>
      <w:pPr>
        <w:widowControl/>
        <w:spacing w:line="360" w:lineRule="auto"/>
        <w:ind w:right="-506" w:rightChars="-241" w:firstLine="480" w:firstLineChars="200"/>
        <w:rPr>
          <w:rFonts w:hint="eastAsia" w:ascii="宋体" w:cs="宋体"/>
          <w:kern w:val="0"/>
          <w:sz w:val="24"/>
        </w:rPr>
      </w:pPr>
      <w:r>
        <w:rPr>
          <w:rFonts w:hint="eastAsia" w:ascii="宋体" w:cs="宋体"/>
          <w:kern w:val="0"/>
          <w:sz w:val="24"/>
        </w:rPr>
        <w:t>5.2中选单位以本公司的书面通知为准。</w:t>
      </w:r>
    </w:p>
    <w:p>
      <w:pPr>
        <w:widowControl/>
        <w:spacing w:line="360" w:lineRule="auto"/>
        <w:ind w:right="-506" w:rightChars="-241" w:firstLine="480" w:firstLineChars="200"/>
        <w:rPr>
          <w:rFonts w:ascii="宋体" w:cs="宋体"/>
          <w:kern w:val="0"/>
          <w:sz w:val="24"/>
        </w:rPr>
      </w:pPr>
      <w:r>
        <w:rPr>
          <w:rFonts w:hint="eastAsia" w:ascii="宋体" w:cs="宋体"/>
          <w:kern w:val="0"/>
          <w:sz w:val="24"/>
        </w:rPr>
        <w:t>5.3如出现重大变故，比选项目取消的，发布人保留因此原因在授标之前任何时候接受或拒绝任何响应，以及宣布比选无效或拒绝所有响应的权力，对受影响的参选人不承担任何责任。</w:t>
      </w:r>
    </w:p>
    <w:p>
      <w:pPr>
        <w:rPr>
          <w:rFonts w:ascii="宋体" w:cs="宋体"/>
          <w:snapToGrid w:val="0"/>
          <w:kern w:val="0"/>
          <w:sz w:val="44"/>
          <w:szCs w:val="44"/>
        </w:rPr>
      </w:pPr>
      <w:r>
        <w:rPr>
          <w:rFonts w:hint="eastAsia" w:ascii="宋体" w:cs="宋体"/>
          <w:snapToGrid w:val="0"/>
          <w:kern w:val="0"/>
          <w:sz w:val="44"/>
          <w:szCs w:val="44"/>
        </w:rPr>
        <w:br w:type="page"/>
      </w:r>
    </w:p>
    <w:p>
      <w:pPr>
        <w:spacing w:line="720" w:lineRule="auto"/>
        <w:jc w:val="center"/>
        <w:outlineLvl w:val="1"/>
        <w:rPr>
          <w:rFonts w:hint="eastAsia" w:ascii="宋体" w:cs="宋体"/>
          <w:b/>
          <w:bCs/>
          <w:snapToGrid w:val="0"/>
          <w:kern w:val="0"/>
          <w:sz w:val="44"/>
          <w:szCs w:val="44"/>
        </w:rPr>
      </w:pPr>
      <w:r>
        <w:rPr>
          <w:rFonts w:hint="eastAsia" w:ascii="宋体" w:cs="宋体"/>
          <w:b/>
          <w:bCs/>
          <w:snapToGrid w:val="0"/>
          <w:kern w:val="0"/>
          <w:sz w:val="44"/>
          <w:szCs w:val="44"/>
        </w:rPr>
        <w:t>第三章 评审办法</w:t>
      </w:r>
      <w:bookmarkEnd w:id="51"/>
      <w:bookmarkEnd w:id="52"/>
      <w:bookmarkEnd w:id="53"/>
      <w:bookmarkEnd w:id="54"/>
      <w:bookmarkEnd w:id="55"/>
      <w:bookmarkEnd w:id="56"/>
      <w:bookmarkEnd w:id="57"/>
      <w:bookmarkEnd w:id="58"/>
      <w:bookmarkEnd w:id="59"/>
    </w:p>
    <w:p>
      <w:pPr>
        <w:autoSpaceDE w:val="0"/>
        <w:autoSpaceDN w:val="0"/>
        <w:adjustRightInd w:val="0"/>
        <w:spacing w:line="360" w:lineRule="auto"/>
        <w:ind w:firstLine="482" w:firstLineChars="200"/>
        <w:rPr>
          <w:rFonts w:ascii="宋体" w:hAnsi="宋体" w:cs="宋体"/>
          <w:b/>
          <w:bCs/>
          <w:kern w:val="0"/>
          <w:sz w:val="24"/>
        </w:rPr>
      </w:pPr>
      <w:r>
        <w:rPr>
          <w:rFonts w:hint="eastAsia" w:ascii="宋体" w:hAnsi="宋体" w:cs="宋体"/>
          <w:b/>
          <w:bCs/>
          <w:kern w:val="0"/>
          <w:sz w:val="24"/>
        </w:rPr>
        <w:t>1 中选办法</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本次评审按最低评标价法确定中选单位，如有需要现场进行第二次报价</w:t>
      </w:r>
      <w:r>
        <w:rPr>
          <w:rFonts w:hint="eastAsia" w:ascii="宋体" w:hAnsi="宋体" w:cs="宋体"/>
          <w:kern w:val="0"/>
          <w:sz w:val="24"/>
        </w:rPr>
        <w:t>，按照二次报价</w:t>
      </w:r>
      <w:r>
        <w:rPr>
          <w:rFonts w:hint="eastAsia" w:ascii="宋体" w:hAnsi="宋体" w:cs="宋体"/>
          <w:kern w:val="0"/>
          <w:sz w:val="24"/>
          <w:lang w:val="zh-CN"/>
        </w:rPr>
        <w:t>法</w:t>
      </w:r>
      <w:r>
        <w:rPr>
          <w:rFonts w:hint="eastAsia" w:ascii="宋体" w:hAnsi="宋体" w:cs="宋体"/>
          <w:kern w:val="0"/>
          <w:sz w:val="24"/>
        </w:rPr>
        <w:t>评审</w:t>
      </w:r>
      <w:r>
        <w:rPr>
          <w:rFonts w:hint="eastAsia" w:ascii="宋体" w:hAnsi="宋体" w:cs="宋体"/>
          <w:kern w:val="0"/>
          <w:sz w:val="24"/>
          <w:lang w:val="zh-CN"/>
        </w:rPr>
        <w:t>。评审委员会首先进行初步评审，对满足</w:t>
      </w:r>
      <w:r>
        <w:rPr>
          <w:rFonts w:hint="eastAsia" w:ascii="宋体" w:hAnsi="宋体" w:cs="宋体"/>
          <w:kern w:val="0"/>
          <w:sz w:val="24"/>
        </w:rPr>
        <w:t>比选</w:t>
      </w:r>
      <w:r>
        <w:rPr>
          <w:rFonts w:hint="eastAsia" w:ascii="宋体" w:hAnsi="宋体" w:cs="宋体"/>
          <w:kern w:val="0"/>
          <w:sz w:val="24"/>
          <w:lang w:val="zh-CN"/>
        </w:rPr>
        <w:t>文件实质性要求的</w:t>
      </w:r>
      <w:r>
        <w:rPr>
          <w:rFonts w:hint="eastAsia" w:ascii="宋体" w:hAnsi="宋体" w:cs="宋体"/>
          <w:kern w:val="0"/>
          <w:sz w:val="24"/>
        </w:rPr>
        <w:t>响应文件</w:t>
      </w:r>
      <w:r>
        <w:rPr>
          <w:rFonts w:hint="eastAsia" w:ascii="宋体" w:hAnsi="宋体" w:cs="宋体"/>
          <w:kern w:val="0"/>
          <w:sz w:val="24"/>
          <w:lang w:val="zh-CN"/>
        </w:rPr>
        <w:t>，按照本章规定的评分标准进行</w:t>
      </w:r>
      <w:r>
        <w:rPr>
          <w:rFonts w:hint="eastAsia" w:ascii="宋体" w:hAnsi="宋体" w:cs="宋体"/>
          <w:kern w:val="0"/>
          <w:sz w:val="24"/>
        </w:rPr>
        <w:t>评审</w:t>
      </w:r>
      <w:r>
        <w:rPr>
          <w:rFonts w:hint="eastAsia" w:ascii="宋体" w:hAnsi="宋体" w:cs="宋体"/>
          <w:kern w:val="0"/>
          <w:sz w:val="24"/>
          <w:lang w:val="zh-CN"/>
        </w:rPr>
        <w:t>，</w:t>
      </w:r>
      <w:r>
        <w:rPr>
          <w:rFonts w:hint="eastAsia" w:ascii="宋体" w:hAnsi="宋体" w:cs="宋体"/>
          <w:sz w:val="24"/>
        </w:rPr>
        <w:t>按比选文件规定，推荐中选单位</w:t>
      </w:r>
      <w:r>
        <w:rPr>
          <w:rFonts w:hint="eastAsia" w:ascii="宋体" w:hAnsi="宋体" w:cs="宋体"/>
          <w:kern w:val="0"/>
          <w:sz w:val="24"/>
          <w:lang w:val="zh-CN"/>
        </w:rPr>
        <w:t>。</w:t>
      </w:r>
    </w:p>
    <w:p>
      <w:pPr>
        <w:autoSpaceDE w:val="0"/>
        <w:autoSpaceDN w:val="0"/>
        <w:adjustRightInd w:val="0"/>
        <w:spacing w:line="360" w:lineRule="auto"/>
        <w:ind w:firstLine="472" w:firstLineChars="196"/>
        <w:rPr>
          <w:rFonts w:ascii="宋体" w:hAnsi="宋体" w:cs="宋体"/>
          <w:b/>
          <w:bCs/>
          <w:kern w:val="0"/>
          <w:sz w:val="24"/>
          <w:lang w:val="zh-CN"/>
        </w:rPr>
      </w:pPr>
      <w:r>
        <w:rPr>
          <w:rFonts w:hint="eastAsia" w:ascii="宋体" w:hAnsi="宋体" w:cs="宋体"/>
          <w:b/>
          <w:bCs/>
          <w:kern w:val="0"/>
          <w:sz w:val="24"/>
        </w:rPr>
        <w:t>2</w:t>
      </w:r>
      <w:r>
        <w:rPr>
          <w:rFonts w:hint="eastAsia" w:ascii="宋体" w:hAnsi="宋体" w:cs="宋体"/>
          <w:b/>
          <w:bCs/>
          <w:kern w:val="0"/>
          <w:sz w:val="24"/>
          <w:lang w:val="zh-CN"/>
        </w:rPr>
        <w:t xml:space="preserve"> 初步评审标准</w:t>
      </w:r>
    </w:p>
    <w:p>
      <w:pPr>
        <w:pStyle w:val="23"/>
        <w:spacing w:after="0"/>
        <w:ind w:firstLine="420" w:firstLineChars="175"/>
        <w:rPr>
          <w:rFonts w:ascii="宋体" w:hAnsi="宋体" w:cs="宋体"/>
          <w:sz w:val="24"/>
          <w:szCs w:val="24"/>
          <w:lang w:val="zh-CN"/>
        </w:rPr>
      </w:pPr>
      <w:r>
        <w:rPr>
          <w:rFonts w:hint="eastAsia" w:ascii="宋体" w:hAnsi="宋体" w:cs="宋体"/>
          <w:sz w:val="24"/>
          <w:szCs w:val="24"/>
          <w:lang w:val="zh-CN"/>
        </w:rPr>
        <w:t>详见初步评审表。</w:t>
      </w:r>
    </w:p>
    <w:p>
      <w:pPr>
        <w:autoSpaceDE w:val="0"/>
        <w:autoSpaceDN w:val="0"/>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评审委员会按照初步评审</w:t>
      </w:r>
      <w:r>
        <w:rPr>
          <w:rFonts w:hint="eastAsia" w:ascii="宋体" w:hAnsi="宋体" w:cs="宋体"/>
          <w:kern w:val="0"/>
          <w:sz w:val="24"/>
        </w:rPr>
        <w:t>表</w:t>
      </w:r>
      <w:r>
        <w:rPr>
          <w:rFonts w:hint="eastAsia" w:ascii="宋体" w:hAnsi="宋体" w:cs="宋体"/>
          <w:kern w:val="0"/>
          <w:sz w:val="24"/>
          <w:lang w:val="zh-CN"/>
        </w:rPr>
        <w:t>标准，对</w:t>
      </w:r>
      <w:r>
        <w:rPr>
          <w:rFonts w:hint="eastAsia" w:ascii="宋体" w:hAnsi="宋体" w:cs="宋体"/>
          <w:kern w:val="0"/>
          <w:sz w:val="24"/>
        </w:rPr>
        <w:t>响应文件</w:t>
      </w:r>
      <w:r>
        <w:rPr>
          <w:rFonts w:hint="eastAsia" w:ascii="宋体" w:hAnsi="宋体" w:cs="宋体"/>
          <w:kern w:val="0"/>
          <w:sz w:val="24"/>
          <w:lang w:val="zh-CN"/>
        </w:rPr>
        <w:t>进行评审，有一项不符合评审标准的，作无效处理，不得通过初步审查。</w:t>
      </w:r>
    </w:p>
    <w:p>
      <w:pPr>
        <w:autoSpaceDE w:val="0"/>
        <w:autoSpaceDN w:val="0"/>
        <w:adjustRightInd w:val="0"/>
        <w:spacing w:line="360" w:lineRule="auto"/>
        <w:ind w:firstLine="600"/>
        <w:jc w:val="left"/>
        <w:rPr>
          <w:rFonts w:ascii="宋体" w:hAnsi="宋体" w:cs="宋体"/>
          <w:kern w:val="0"/>
          <w:sz w:val="24"/>
          <w:lang w:val="zh-CN"/>
        </w:rPr>
      </w:pPr>
      <w:r>
        <w:rPr>
          <w:rFonts w:hint="eastAsia" w:ascii="宋体" w:hAnsi="宋体" w:cs="宋体"/>
          <w:b/>
          <w:bCs/>
          <w:kern w:val="0"/>
          <w:sz w:val="24"/>
          <w:lang w:val="zh-CN"/>
        </w:rPr>
        <w:t>3</w:t>
      </w:r>
      <w:r>
        <w:rPr>
          <w:rFonts w:hint="eastAsia" w:ascii="宋体" w:hAnsi="宋体" w:cs="宋体"/>
          <w:b/>
          <w:bCs/>
          <w:kern w:val="0"/>
          <w:sz w:val="24"/>
        </w:rPr>
        <w:t xml:space="preserve"> </w:t>
      </w:r>
      <w:r>
        <w:rPr>
          <w:rFonts w:hint="eastAsia" w:ascii="宋体" w:hAnsi="宋体" w:cs="宋体"/>
          <w:b/>
          <w:bCs/>
          <w:kern w:val="0"/>
          <w:sz w:val="24"/>
          <w:lang w:val="zh-CN"/>
        </w:rPr>
        <w:t>评审结果</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参选人递交响应文件后，由合规运营部检查基本情况，符合规定要求后，开始评审程序。</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评标委员会认为参选人的报价明显低于其他通过符合性审查参选人的报价，有可能影响产品质量或者不能诚信履约的，应当要求其在评标现场合理的时间内提供书面说明，必要时提交相关证明材料；参选人不能证明其报价合理性的，评标委员会应当将其作为无效响应处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评委评审后如需二次报价，参选人进行二次报价，二次报价不得高于第一次报价，二次报价不予公布。</w:t>
      </w:r>
      <w:r>
        <w:rPr>
          <w:rFonts w:hint="eastAsia" w:ascii="宋体" w:hAnsi="宋体" w:cs="宋体"/>
          <w:kern w:val="0"/>
          <w:sz w:val="24"/>
          <w:lang w:val="zh-CN"/>
        </w:rPr>
        <w:t>评审委员会按照</w:t>
      </w:r>
      <w:r>
        <w:rPr>
          <w:rFonts w:hint="eastAsia" w:ascii="宋体" w:hAnsi="宋体" w:cs="宋体"/>
          <w:kern w:val="0"/>
          <w:sz w:val="24"/>
        </w:rPr>
        <w:t>响应（二次）报价，由低到高依次排序，发包人根据实际情况确定中选人。</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发包人认为供货量较大，需两名（两名以上）供货商同时供货时，可选出两名（两名以上）候选人。第二名候选人需提供承诺函，承诺供货价格与第一名候选人一致。递交承诺函后，发包人向中选候选人发布中标通知书。</w:t>
      </w:r>
    </w:p>
    <w:p>
      <w:pPr>
        <w:widowControl/>
        <w:spacing w:line="360" w:lineRule="auto"/>
        <w:ind w:firstLine="480" w:firstLineChars="200"/>
        <w:jc w:val="left"/>
        <w:rPr>
          <w:rFonts w:ascii="宋体" w:hAnsi="宋体" w:cs="宋体"/>
          <w:kern w:val="0"/>
          <w:sz w:val="24"/>
        </w:rPr>
      </w:pPr>
    </w:p>
    <w:p>
      <w:pPr>
        <w:autoSpaceDE w:val="0"/>
        <w:autoSpaceDN w:val="0"/>
        <w:adjustRightInd w:val="0"/>
        <w:spacing w:line="360" w:lineRule="auto"/>
        <w:rPr>
          <w:rFonts w:ascii="宋体" w:cs="宋体"/>
          <w:kern w:val="0"/>
          <w:sz w:val="24"/>
        </w:rPr>
      </w:pPr>
    </w:p>
    <w:p>
      <w:pPr>
        <w:rPr>
          <w:rFonts w:ascii="宋体" w:cs="宋体"/>
          <w:kern w:val="0"/>
          <w:sz w:val="24"/>
          <w:lang w:val="zh-CN"/>
        </w:rPr>
      </w:pPr>
      <w:r>
        <w:rPr>
          <w:rFonts w:hint="eastAsia" w:ascii="宋体" w:cs="宋体"/>
          <w:kern w:val="0"/>
          <w:sz w:val="24"/>
          <w:lang w:val="zh-CN"/>
        </w:rPr>
        <w:br w:type="page"/>
      </w:r>
    </w:p>
    <w:p>
      <w:pPr>
        <w:spacing w:line="360" w:lineRule="auto"/>
        <w:jc w:val="center"/>
        <w:rPr>
          <w:b/>
          <w:bCs/>
          <w:sz w:val="32"/>
          <w:szCs w:val="32"/>
        </w:rPr>
      </w:pPr>
      <w:r>
        <w:rPr>
          <w:rFonts w:hint="eastAsia"/>
          <w:b/>
          <w:bCs/>
          <w:sz w:val="32"/>
          <w:szCs w:val="32"/>
        </w:rPr>
        <w:t>初步评审表</w:t>
      </w:r>
    </w:p>
    <w:p>
      <w:pPr>
        <w:pStyle w:val="2"/>
        <w:spacing w:after="0" w:line="360" w:lineRule="auto"/>
        <w:jc w:val="left"/>
        <w:rPr>
          <w:rFonts w:ascii="宋体" w:cs="宋体"/>
          <w:color w:val="000000"/>
          <w:sz w:val="24"/>
        </w:rPr>
      </w:pPr>
      <w:r>
        <w:rPr>
          <w:rFonts w:hint="eastAsia" w:ascii="宋体" w:cs="宋体"/>
          <w:color w:val="000000"/>
          <w:sz w:val="24"/>
        </w:rPr>
        <w:t xml:space="preserve">项目名称： </w:t>
      </w:r>
    </w:p>
    <w:p>
      <w:pPr>
        <w:pStyle w:val="24"/>
        <w:ind w:firstLine="0" w:firstLineChars="0"/>
      </w:pPr>
      <w:r>
        <w:rPr>
          <w:rFonts w:hint="eastAsia"/>
        </w:rPr>
        <w:t>参选人名称：</w:t>
      </w:r>
    </w:p>
    <w:tbl>
      <w:tblPr>
        <w:tblStyle w:val="2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42"/>
        <w:gridCol w:w="3210"/>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序号</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审查内容</w:t>
            </w:r>
          </w:p>
        </w:tc>
        <w:tc>
          <w:tcPr>
            <w:tcW w:w="321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1</w:t>
            </w:r>
          </w:p>
        </w:tc>
        <w:tc>
          <w:tcPr>
            <w:tcW w:w="1942"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cs="宋体"/>
                <w:color w:val="000000"/>
                <w:szCs w:val="21"/>
              </w:rPr>
            </w:pPr>
            <w:r>
              <w:rPr>
                <w:rFonts w:hint="eastAsia" w:ascii="宋体" w:cs="宋体"/>
                <w:color w:val="000000"/>
                <w:szCs w:val="21"/>
              </w:rPr>
              <w:t>参选人名称</w:t>
            </w:r>
          </w:p>
        </w:tc>
        <w:tc>
          <w:tcPr>
            <w:tcW w:w="321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cs="宋体"/>
                <w:color w:val="000000"/>
                <w:szCs w:val="21"/>
              </w:rPr>
            </w:pPr>
            <w:r>
              <w:rPr>
                <w:szCs w:val="21"/>
              </w:rPr>
              <w:t>与营业执照、资质证书</w:t>
            </w:r>
            <w:r>
              <w:rPr>
                <w:rFonts w:hint="eastAsia"/>
                <w:szCs w:val="21"/>
              </w:rPr>
              <w:t>（如需）、安全生产许可证（如需</w:t>
            </w:r>
            <w:r>
              <w:rPr>
                <w:rFonts w:hint="eastAsia"/>
                <w:color w:val="4F81BD" w:themeColor="accent1"/>
                <w:szCs w:val="21"/>
                <w14:textFill>
                  <w14:solidFill>
                    <w14:schemeClr w14:val="accent1"/>
                  </w14:solidFill>
                </w14:textFill>
              </w:rPr>
              <w:t>）</w:t>
            </w:r>
            <w:r>
              <w:rPr>
                <w:szCs w:val="21"/>
              </w:rPr>
              <w:t>一致</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2</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响应文件格式</w:t>
            </w:r>
          </w:p>
        </w:tc>
        <w:tc>
          <w:tcPr>
            <w:tcW w:w="321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符合“响应文件格式”要求</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3</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签字盖章</w:t>
            </w:r>
          </w:p>
        </w:tc>
        <w:tc>
          <w:tcPr>
            <w:tcW w:w="321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cs="宋体"/>
                <w:color w:val="000000"/>
                <w:szCs w:val="21"/>
              </w:rPr>
            </w:pPr>
            <w:r>
              <w:rPr>
                <w:rFonts w:hint="eastAsia" w:ascii="宋体" w:cs="宋体"/>
                <w:color w:val="000000"/>
                <w:szCs w:val="21"/>
              </w:rPr>
              <w:t>符合比选文件要求</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4</w:t>
            </w:r>
          </w:p>
        </w:tc>
        <w:tc>
          <w:tcPr>
            <w:tcW w:w="1942"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cs="宋体"/>
                <w:color w:val="000000"/>
                <w:szCs w:val="21"/>
              </w:rPr>
            </w:pPr>
            <w:r>
              <w:rPr>
                <w:rFonts w:hint="eastAsia" w:ascii="宋体" w:cs="宋体"/>
                <w:color w:val="000000"/>
                <w:szCs w:val="21"/>
              </w:rPr>
              <w:t>资质合规性（营业执照、资质等级、许可证）</w:t>
            </w:r>
          </w:p>
        </w:tc>
        <w:tc>
          <w:tcPr>
            <w:tcW w:w="321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cs="宋体"/>
                <w:color w:val="000000"/>
                <w:szCs w:val="21"/>
              </w:rPr>
            </w:pPr>
            <w:r>
              <w:rPr>
                <w:rFonts w:hint="eastAsia" w:ascii="宋体" w:cs="宋体"/>
                <w:color w:val="000000"/>
                <w:szCs w:val="21"/>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5</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信誉要求</w:t>
            </w:r>
          </w:p>
        </w:tc>
        <w:tc>
          <w:tcPr>
            <w:tcW w:w="3210" w:type="dxa"/>
            <w:tcBorders>
              <w:top w:val="single" w:color="auto" w:sz="4" w:space="0"/>
              <w:left w:val="single" w:color="auto" w:sz="4" w:space="0"/>
              <w:bottom w:val="single" w:color="auto" w:sz="4" w:space="0"/>
              <w:right w:val="single" w:color="auto" w:sz="4" w:space="0"/>
            </w:tcBorders>
            <w:vAlign w:val="center"/>
          </w:tcPr>
          <w:p>
            <w:pPr>
              <w:tabs>
                <w:tab w:val="left" w:pos="360"/>
              </w:tabs>
              <w:jc w:val="left"/>
              <w:rPr>
                <w:rFonts w:ascii="宋体" w:cs="宋体"/>
                <w:color w:val="000000"/>
                <w:szCs w:val="21"/>
              </w:rPr>
            </w:pPr>
            <w:r>
              <w:rPr>
                <w:rFonts w:hint="eastAsia" w:ascii="宋体" w:cs="宋体"/>
                <w:color w:val="000000"/>
                <w:szCs w:val="21"/>
              </w:rPr>
              <w:t>参选人未被“信用中国”网站列入失信被执行人名单（附比选前一日或当日查询截图）</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7</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其他</w:t>
            </w:r>
          </w:p>
        </w:tc>
        <w:tc>
          <w:tcPr>
            <w:tcW w:w="3210" w:type="dxa"/>
            <w:tcBorders>
              <w:top w:val="single" w:color="auto" w:sz="4" w:space="0"/>
              <w:left w:val="single" w:color="auto" w:sz="4" w:space="0"/>
              <w:bottom w:val="single" w:color="auto" w:sz="4" w:space="0"/>
              <w:right w:val="single" w:color="auto" w:sz="4" w:space="0"/>
            </w:tcBorders>
            <w:vAlign w:val="center"/>
          </w:tcPr>
          <w:p>
            <w:pPr>
              <w:tabs>
                <w:tab w:val="left" w:pos="360"/>
              </w:tabs>
              <w:jc w:val="left"/>
              <w:rPr>
                <w:rFonts w:ascii="宋体" w:cs="宋体"/>
                <w:color w:val="000000"/>
                <w:szCs w:val="21"/>
              </w:rPr>
            </w:pPr>
            <w:r>
              <w:rPr>
                <w:rFonts w:hint="eastAsia" w:ascii="宋体" w:cs="宋体"/>
                <w:color w:val="000000"/>
                <w:szCs w:val="21"/>
              </w:rPr>
              <w:t>没有其他不符合比选文件规定的情况</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9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r>
              <w:rPr>
                <w:rFonts w:hint="eastAsia" w:ascii="宋体" w:cs="宋体"/>
                <w:color w:val="000000"/>
                <w:szCs w:val="21"/>
              </w:rPr>
              <w:t>评审委员会意见（通过或不通过）</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Cs w:val="21"/>
              </w:rPr>
            </w:pPr>
          </w:p>
        </w:tc>
      </w:tr>
    </w:tbl>
    <w:p>
      <w:pPr>
        <w:spacing w:line="360" w:lineRule="auto"/>
        <w:rPr>
          <w:rFonts w:ascii="黑体" w:hAnsi="黑体" w:eastAsia="黑体" w:cs="黑体"/>
          <w:color w:val="000000"/>
          <w:sz w:val="24"/>
        </w:rPr>
      </w:pPr>
    </w:p>
    <w:p>
      <w:pPr>
        <w:spacing w:line="360" w:lineRule="auto"/>
        <w:rPr>
          <w:rFonts w:ascii="黑体" w:hAnsi="黑体" w:eastAsia="黑体" w:cs="黑体"/>
          <w:color w:val="000000"/>
          <w:sz w:val="24"/>
        </w:rPr>
      </w:pPr>
      <w:r>
        <w:rPr>
          <w:rFonts w:hint="eastAsia" w:ascii="黑体" w:hAnsi="黑体" w:eastAsia="黑体" w:cs="黑体"/>
          <w:color w:val="000000"/>
          <w:sz w:val="24"/>
        </w:rPr>
        <w:t>评委签名：</w:t>
      </w:r>
    </w:p>
    <w:p>
      <w:pPr>
        <w:spacing w:line="360" w:lineRule="auto"/>
        <w:rPr>
          <w:rFonts w:ascii="宋体"/>
          <w:color w:val="000000"/>
          <w:szCs w:val="21"/>
        </w:rPr>
      </w:pPr>
    </w:p>
    <w:p>
      <w:pPr>
        <w:spacing w:line="360" w:lineRule="auto"/>
        <w:rPr>
          <w:rFonts w:ascii="宋体"/>
          <w:color w:val="000000"/>
          <w:szCs w:val="21"/>
        </w:rPr>
      </w:pPr>
      <w:r>
        <w:rPr>
          <w:rFonts w:hint="eastAsia" w:ascii="宋体"/>
          <w:color w:val="000000"/>
          <w:szCs w:val="21"/>
        </w:rPr>
        <w:t>备注：1、每一项目符合的打“√”，不符合的打“×”；出现一个“×”的结论为“不通过”（不通过的要说明原因）。</w:t>
      </w:r>
    </w:p>
    <w:p>
      <w:pPr>
        <w:numPr>
          <w:ilvl w:val="0"/>
          <w:numId w:val="2"/>
        </w:numPr>
        <w:spacing w:line="360" w:lineRule="auto"/>
        <w:rPr>
          <w:rFonts w:ascii="宋体"/>
          <w:color w:val="000000"/>
          <w:szCs w:val="21"/>
        </w:rPr>
      </w:pPr>
      <w:r>
        <w:rPr>
          <w:rFonts w:hint="eastAsia" w:ascii="宋体"/>
          <w:color w:val="000000"/>
          <w:szCs w:val="21"/>
        </w:rPr>
        <w:t>“评审委员会意见”一栏由评委填写“通过”或“不通过”。</w:t>
      </w:r>
    </w:p>
    <w:p>
      <w:pPr>
        <w:spacing w:line="360" w:lineRule="auto"/>
        <w:ind w:firstLine="630" w:firstLineChars="300"/>
        <w:rPr>
          <w:rFonts w:ascii="宋体" w:cs="宋体"/>
          <w:b/>
        </w:rPr>
      </w:pPr>
      <w:r>
        <w:rPr>
          <w:rFonts w:hint="eastAsia" w:ascii="宋体"/>
          <w:color w:val="000000"/>
          <w:szCs w:val="21"/>
        </w:rPr>
        <w:t>3、评审证明材料装订在响应文件中即可，证明材料要清楚可辨，否则不能通过初步评审。</w:t>
      </w:r>
      <w:bookmarkStart w:id="60" w:name="甲______方：（公章）___________________________"/>
      <w:bookmarkEnd w:id="60"/>
    </w:p>
    <w:p>
      <w:pPr>
        <w:spacing w:line="360" w:lineRule="auto"/>
        <w:ind w:left="2830"/>
        <w:rPr>
          <w:rFonts w:ascii="宋体" w:cs="宋体"/>
          <w:b/>
        </w:rPr>
      </w:pPr>
    </w:p>
    <w:p>
      <w:pPr>
        <w:rPr>
          <w:rFonts w:ascii="宋体" w:cs="宋体"/>
          <w:snapToGrid w:val="0"/>
          <w:kern w:val="0"/>
          <w:sz w:val="44"/>
          <w:szCs w:val="44"/>
        </w:rPr>
      </w:pPr>
      <w:r>
        <w:rPr>
          <w:rFonts w:hint="eastAsia" w:ascii="宋体" w:cs="宋体"/>
          <w:snapToGrid w:val="0"/>
          <w:kern w:val="0"/>
          <w:sz w:val="44"/>
          <w:szCs w:val="44"/>
        </w:rPr>
        <w:br w:type="page"/>
      </w:r>
    </w:p>
    <w:p>
      <w:pPr>
        <w:spacing w:line="720" w:lineRule="auto"/>
        <w:jc w:val="center"/>
        <w:outlineLvl w:val="1"/>
        <w:rPr>
          <w:rFonts w:hint="eastAsia" w:ascii="宋体" w:cs="宋体"/>
          <w:b/>
          <w:bCs/>
          <w:snapToGrid w:val="0"/>
          <w:kern w:val="0"/>
          <w:sz w:val="44"/>
          <w:szCs w:val="44"/>
        </w:rPr>
      </w:pPr>
      <w:r>
        <w:rPr>
          <w:rFonts w:hint="eastAsia" w:ascii="宋体" w:cs="宋体"/>
          <w:b/>
          <w:bCs/>
          <w:snapToGrid w:val="0"/>
          <w:kern w:val="0"/>
          <w:sz w:val="44"/>
          <w:szCs w:val="44"/>
        </w:rPr>
        <w:t>第四章 参选人要求</w:t>
      </w:r>
    </w:p>
    <w:p>
      <w:pPr>
        <w:pStyle w:val="23"/>
        <w:spacing w:after="0"/>
        <w:ind w:firstLine="480" w:firstLineChars="200"/>
        <w:rPr>
          <w:rFonts w:ascii="宋体" w:hAnsi="宋体" w:cs="宋体"/>
          <w:color w:val="auto"/>
          <w:kern w:val="0"/>
          <w:sz w:val="24"/>
          <w:szCs w:val="24"/>
        </w:rPr>
      </w:pPr>
      <w:r>
        <w:rPr>
          <w:rFonts w:hint="eastAsia" w:ascii="宋体" w:cs="宋体"/>
          <w:kern w:val="0"/>
          <w:sz w:val="24"/>
        </w:rPr>
        <w:t>石家庄承宏工程建设有限公司作为发</w:t>
      </w:r>
      <w:r>
        <w:rPr>
          <w:rFonts w:hint="eastAsia" w:ascii="宋体" w:hAnsi="宋体" w:cs="宋体"/>
          <w:color w:val="auto"/>
          <w:kern w:val="0"/>
          <w:sz w:val="24"/>
          <w:szCs w:val="24"/>
        </w:rPr>
        <w:t>包人，通过比选方式产生保温管及管件供应单位，在评选出的中选单位承担</w:t>
      </w:r>
      <w:r>
        <w:rPr>
          <w:rFonts w:hint="eastAsia" w:ascii="宋体" w:cs="宋体"/>
          <w:kern w:val="0"/>
          <w:sz w:val="24"/>
          <w:szCs w:val="24"/>
        </w:rPr>
        <w:t>的保温管及管件供应</w:t>
      </w:r>
      <w:r>
        <w:rPr>
          <w:rFonts w:hint="eastAsia" w:ascii="宋体" w:hAnsi="宋体" w:cs="宋体"/>
          <w:color w:val="auto"/>
          <w:kern w:val="0"/>
          <w:sz w:val="24"/>
          <w:szCs w:val="24"/>
        </w:rPr>
        <w:t>工作，</w:t>
      </w:r>
      <w:r>
        <w:rPr>
          <w:rFonts w:hint="eastAsia" w:ascii="宋体" w:cs="宋体"/>
          <w:kern w:val="0"/>
          <w:sz w:val="24"/>
        </w:rPr>
        <w:t>甲方不保证完全按照比选数量进行采购，具体结算数量以现场计量合格数量为准</w:t>
      </w:r>
      <w:r>
        <w:rPr>
          <w:rFonts w:hint="eastAsia" w:ascii="宋体" w:hAnsi="宋体" w:cs="宋体"/>
          <w:color w:val="auto"/>
          <w:kern w:val="0"/>
          <w:sz w:val="24"/>
          <w:szCs w:val="24"/>
        </w:rPr>
        <w:t>。</w:t>
      </w:r>
    </w:p>
    <w:p>
      <w:pPr>
        <w:widowControl/>
        <w:spacing w:line="360" w:lineRule="auto"/>
        <w:ind w:right="-506" w:rightChars="-241" w:firstLine="480" w:firstLineChars="200"/>
        <w:rPr>
          <w:rFonts w:ascii="宋体" w:hAnsi="宋体" w:cs="宋体"/>
          <w:color w:val="FF0000"/>
          <w:kern w:val="0"/>
          <w:sz w:val="24"/>
          <w:highlight w:val="none"/>
        </w:rPr>
      </w:pPr>
      <w:r>
        <w:rPr>
          <w:rFonts w:hint="eastAsia" w:ascii="宋体" w:cs="宋体"/>
          <w:kern w:val="0"/>
          <w:sz w:val="24"/>
          <w:highlight w:val="none"/>
        </w:rPr>
        <w:t>中选单位以本公司的书面通知为准。</w:t>
      </w:r>
    </w:p>
    <w:p>
      <w:pPr>
        <w:pStyle w:val="23"/>
        <w:spacing w:after="0"/>
        <w:ind w:firstLine="480" w:firstLineChars="200"/>
        <w:rPr>
          <w:rFonts w:ascii="宋体" w:hAnsi="宋体" w:cs="宋体"/>
          <w:color w:val="auto"/>
          <w:kern w:val="0"/>
          <w:sz w:val="24"/>
          <w:szCs w:val="24"/>
        </w:rPr>
      </w:pPr>
      <w:r>
        <w:rPr>
          <w:rFonts w:hint="eastAsia" w:ascii="宋体" w:hAnsi="宋体" w:cs="宋体"/>
          <w:color w:val="auto"/>
          <w:kern w:val="0"/>
          <w:sz w:val="24"/>
          <w:szCs w:val="24"/>
        </w:rPr>
        <w:t>实施期限按合同约定执行。</w:t>
      </w:r>
    </w:p>
    <w:p>
      <w:pPr>
        <w:pStyle w:val="23"/>
        <w:spacing w:after="0"/>
        <w:ind w:firstLine="480" w:firstLineChars="200"/>
        <w:rPr>
          <w:rFonts w:ascii="宋体" w:hAnsi="宋体" w:cs="宋体"/>
          <w:color w:val="auto"/>
          <w:kern w:val="0"/>
          <w:sz w:val="24"/>
          <w:szCs w:val="24"/>
        </w:rPr>
      </w:pPr>
      <w:r>
        <w:rPr>
          <w:rFonts w:hint="eastAsia" w:ascii="宋体" w:hAnsi="宋体" w:cs="宋体"/>
          <w:color w:val="auto"/>
          <w:kern w:val="0"/>
          <w:sz w:val="24"/>
          <w:szCs w:val="24"/>
        </w:rPr>
        <w:t>材料质量应满足国家、地方环保标准和发包人要求。</w:t>
      </w:r>
    </w:p>
    <w:p>
      <w:pPr>
        <w:pStyle w:val="23"/>
        <w:spacing w:after="0"/>
        <w:ind w:firstLine="480" w:firstLineChars="200"/>
        <w:rPr>
          <w:rFonts w:ascii="宋体" w:hAnsi="宋体" w:cs="宋体"/>
          <w:color w:val="auto"/>
          <w:kern w:val="0"/>
          <w:sz w:val="24"/>
          <w:szCs w:val="24"/>
        </w:rPr>
      </w:pPr>
      <w:r>
        <w:rPr>
          <w:rFonts w:hint="eastAsia" w:ascii="宋体" w:hAnsi="宋体" w:cs="宋体"/>
          <w:color w:val="auto"/>
          <w:kern w:val="0"/>
          <w:sz w:val="24"/>
          <w:szCs w:val="24"/>
        </w:rPr>
        <w:t>参选人报价为材料含税单价和合价。</w:t>
      </w:r>
    </w:p>
    <w:p>
      <w:pPr>
        <w:pStyle w:val="23"/>
        <w:spacing w:after="0"/>
        <w:ind w:firstLine="480" w:firstLineChars="200"/>
        <w:rPr>
          <w:rFonts w:ascii="宋体" w:hAnsi="宋体" w:cs="宋体"/>
          <w:color w:val="FF0000"/>
          <w:kern w:val="0"/>
          <w:sz w:val="24"/>
          <w:szCs w:val="24"/>
        </w:rPr>
      </w:pPr>
      <w:r>
        <w:rPr>
          <w:rFonts w:hint="eastAsia" w:ascii="宋体" w:hAnsi="宋体" w:cs="宋体"/>
          <w:color w:val="FF0000"/>
          <w:kern w:val="0"/>
          <w:sz w:val="24"/>
          <w:szCs w:val="24"/>
        </w:rPr>
        <w:t>付款方式为：</w:t>
      </w:r>
      <w:r>
        <w:rPr>
          <w:rFonts w:hint="eastAsia" w:ascii="宋体" w:hAnsi="宋体" w:cs="宋体"/>
          <w:color w:val="FF0000"/>
          <w:kern w:val="0"/>
          <w:sz w:val="24"/>
          <w:szCs w:val="24"/>
          <w:lang w:eastAsia="zh-CN"/>
        </w:rPr>
        <w:t>签订合同后拨付合同价款的</w:t>
      </w:r>
      <w:r>
        <w:rPr>
          <w:rFonts w:hint="eastAsia" w:ascii="宋体" w:hAnsi="宋体" w:cs="宋体"/>
          <w:color w:val="FF0000"/>
          <w:kern w:val="0"/>
          <w:sz w:val="24"/>
          <w:szCs w:val="24"/>
        </w:rPr>
        <w:t>20%，</w:t>
      </w:r>
      <w:r>
        <w:rPr>
          <w:rFonts w:hint="eastAsia" w:ascii="宋体" w:hAnsi="宋体" w:cs="宋体"/>
          <w:color w:val="FF0000"/>
          <w:kern w:val="0"/>
          <w:sz w:val="24"/>
          <w:szCs w:val="24"/>
          <w:lang w:eastAsia="zh-CN"/>
        </w:rPr>
        <w:t>到场检验合格后拨付至合同价款的</w:t>
      </w:r>
      <w:r>
        <w:rPr>
          <w:rFonts w:hint="eastAsia" w:ascii="宋体" w:hAnsi="宋体" w:cs="宋体"/>
          <w:color w:val="FF0000"/>
          <w:kern w:val="0"/>
          <w:sz w:val="24"/>
          <w:szCs w:val="24"/>
          <w:lang w:val="en-US" w:eastAsia="zh-CN"/>
        </w:rPr>
        <w:t>60%</w:t>
      </w:r>
      <w:r>
        <w:rPr>
          <w:rFonts w:hint="eastAsia" w:ascii="宋体" w:hAnsi="宋体" w:cs="宋体"/>
          <w:color w:val="FF0000"/>
          <w:kern w:val="0"/>
          <w:sz w:val="24"/>
          <w:szCs w:val="24"/>
        </w:rPr>
        <w:t>，</w:t>
      </w:r>
      <w:r>
        <w:rPr>
          <w:rFonts w:hint="eastAsia" w:ascii="宋体" w:hAnsi="宋体" w:cs="宋体"/>
          <w:color w:val="FF0000"/>
          <w:kern w:val="0"/>
          <w:sz w:val="24"/>
          <w:szCs w:val="24"/>
          <w:lang w:eastAsia="zh-CN"/>
        </w:rPr>
        <w:t>保温补口验收合格后，拨付至合同价款的</w:t>
      </w:r>
      <w:r>
        <w:rPr>
          <w:rFonts w:hint="eastAsia" w:ascii="宋体" w:hAnsi="宋体" w:cs="宋体"/>
          <w:color w:val="FF0000"/>
          <w:kern w:val="0"/>
          <w:sz w:val="24"/>
          <w:szCs w:val="24"/>
          <w:lang w:val="en-US" w:eastAsia="zh-CN"/>
        </w:rPr>
        <w:t>95%，</w:t>
      </w:r>
      <w:r>
        <w:rPr>
          <w:rFonts w:hint="eastAsia" w:ascii="宋体" w:hAnsi="宋体" w:cs="宋体"/>
          <w:color w:val="FF0000"/>
          <w:kern w:val="0"/>
          <w:sz w:val="24"/>
          <w:szCs w:val="24"/>
        </w:rPr>
        <w:t>剩余5%作为保证金，期限两个采暖季，待保证期满，甲方一次性无息支付。</w:t>
      </w:r>
    </w:p>
    <w:p>
      <w:pPr>
        <w:pStyle w:val="23"/>
        <w:spacing w:after="0"/>
        <w:ind w:firstLine="480" w:firstLineChars="200"/>
        <w:rPr>
          <w:rFonts w:ascii="宋体" w:hAnsi="宋体" w:cs="宋体"/>
          <w:color w:val="auto"/>
          <w:kern w:val="0"/>
          <w:sz w:val="24"/>
          <w:szCs w:val="24"/>
        </w:rPr>
      </w:pPr>
      <w:r>
        <w:rPr>
          <w:rFonts w:hint="eastAsia" w:ascii="宋体" w:hAnsi="宋体" w:cs="宋体"/>
          <w:color w:val="auto"/>
          <w:kern w:val="0"/>
          <w:sz w:val="24"/>
          <w:szCs w:val="24"/>
        </w:rPr>
        <w:t>货款支付方式、时间和质保期按签定合同中的相关条款执行。</w:t>
      </w:r>
    </w:p>
    <w:p>
      <w:pPr>
        <w:pStyle w:val="23"/>
        <w:spacing w:after="0"/>
        <w:ind w:firstLine="480" w:firstLineChars="200"/>
        <w:rPr>
          <w:rFonts w:ascii="宋体" w:cs="宋体"/>
          <w:color w:val="auto"/>
          <w:kern w:val="0"/>
          <w:sz w:val="24"/>
          <w:szCs w:val="24"/>
        </w:rPr>
      </w:pPr>
    </w:p>
    <w:p>
      <w:pPr>
        <w:spacing w:line="360" w:lineRule="auto"/>
        <w:jc w:val="center"/>
        <w:outlineLvl w:val="1"/>
        <w:rPr>
          <w:rFonts w:ascii="宋体" w:cs="宋体"/>
          <w:snapToGrid w:val="0"/>
          <w:kern w:val="0"/>
          <w:sz w:val="44"/>
          <w:szCs w:val="44"/>
        </w:rPr>
      </w:pPr>
      <w:bookmarkStart w:id="61" w:name="_Toc29800"/>
      <w:bookmarkStart w:id="62" w:name="_Toc3001"/>
      <w:bookmarkStart w:id="63" w:name="_Toc25443"/>
      <w:bookmarkStart w:id="64" w:name="_Toc27635"/>
      <w:bookmarkStart w:id="65" w:name="_Toc25309"/>
      <w:bookmarkStart w:id="66" w:name="_Toc4743"/>
      <w:bookmarkStart w:id="67" w:name="_Toc29404"/>
    </w:p>
    <w:p>
      <w:pPr>
        <w:spacing w:line="360" w:lineRule="auto"/>
        <w:jc w:val="center"/>
        <w:outlineLvl w:val="1"/>
        <w:rPr>
          <w:rFonts w:ascii="宋体" w:cs="宋体"/>
          <w:snapToGrid w:val="0"/>
          <w:kern w:val="0"/>
          <w:sz w:val="44"/>
          <w:szCs w:val="44"/>
        </w:rPr>
      </w:pPr>
    </w:p>
    <w:p>
      <w:pPr>
        <w:pStyle w:val="24"/>
        <w:ind w:firstLine="928"/>
        <w:rPr>
          <w:rFonts w:ascii="宋体" w:cs="宋体"/>
          <w:snapToGrid w:val="0"/>
          <w:sz w:val="44"/>
          <w:szCs w:val="44"/>
        </w:rPr>
      </w:pPr>
    </w:p>
    <w:p>
      <w:pPr>
        <w:pStyle w:val="24"/>
        <w:ind w:firstLine="928"/>
        <w:rPr>
          <w:rFonts w:ascii="宋体" w:cs="宋体"/>
          <w:snapToGrid w:val="0"/>
          <w:sz w:val="44"/>
          <w:szCs w:val="44"/>
        </w:rPr>
      </w:pPr>
    </w:p>
    <w:p>
      <w:pPr>
        <w:pStyle w:val="24"/>
        <w:ind w:firstLine="928"/>
        <w:rPr>
          <w:rFonts w:ascii="宋体" w:cs="宋体"/>
          <w:snapToGrid w:val="0"/>
          <w:sz w:val="44"/>
          <w:szCs w:val="44"/>
        </w:rPr>
      </w:pPr>
    </w:p>
    <w:p>
      <w:pPr>
        <w:rPr>
          <w:rFonts w:ascii="宋体" w:cs="宋体"/>
          <w:snapToGrid w:val="0"/>
          <w:kern w:val="0"/>
          <w:sz w:val="44"/>
          <w:szCs w:val="44"/>
        </w:rPr>
      </w:pPr>
      <w:r>
        <w:rPr>
          <w:rFonts w:hint="eastAsia" w:ascii="宋体" w:cs="宋体"/>
          <w:snapToGrid w:val="0"/>
          <w:kern w:val="0"/>
          <w:sz w:val="44"/>
          <w:szCs w:val="44"/>
        </w:rPr>
        <w:br w:type="page"/>
      </w:r>
    </w:p>
    <w:p>
      <w:pPr>
        <w:spacing w:line="720" w:lineRule="auto"/>
        <w:jc w:val="center"/>
        <w:outlineLvl w:val="1"/>
        <w:rPr>
          <w:rFonts w:hint="eastAsia" w:ascii="宋体" w:cs="宋体"/>
          <w:b/>
          <w:bCs/>
          <w:snapToGrid w:val="0"/>
          <w:kern w:val="0"/>
          <w:sz w:val="44"/>
          <w:szCs w:val="44"/>
        </w:rPr>
      </w:pPr>
      <w:r>
        <w:rPr>
          <w:rFonts w:hint="eastAsia" w:ascii="宋体" w:cs="宋体"/>
          <w:b/>
          <w:bCs/>
          <w:snapToGrid w:val="0"/>
          <w:kern w:val="0"/>
          <w:sz w:val="44"/>
          <w:szCs w:val="44"/>
        </w:rPr>
        <w:t>第五章 响应文件格式</w:t>
      </w:r>
      <w:bookmarkEnd w:id="61"/>
      <w:bookmarkEnd w:id="62"/>
      <w:bookmarkEnd w:id="63"/>
      <w:bookmarkEnd w:id="64"/>
      <w:bookmarkEnd w:id="65"/>
      <w:bookmarkEnd w:id="66"/>
      <w:bookmarkEnd w:id="67"/>
      <w:bookmarkStart w:id="68" w:name="_Toc1514"/>
      <w:r>
        <w:rPr>
          <w:rFonts w:hint="eastAsia" w:ascii="宋体" w:cs="宋体"/>
          <w:b/>
          <w:bCs/>
          <w:snapToGrid w:val="0"/>
          <w:kern w:val="0"/>
          <w:sz w:val="44"/>
          <w:szCs w:val="44"/>
        </w:rPr>
        <w:t>及开标程序</w:t>
      </w:r>
    </w:p>
    <w:bookmarkEnd w:id="68"/>
    <w:p>
      <w:pPr>
        <w:widowControl/>
        <w:spacing w:line="360" w:lineRule="auto"/>
        <w:ind w:left="-420" w:leftChars="-200" w:right="-506" w:rightChars="-241" w:firstLine="562" w:firstLineChars="200"/>
        <w:rPr>
          <w:rFonts w:ascii="宋体" w:cs="宋体"/>
          <w:b/>
          <w:bCs/>
          <w:kern w:val="0"/>
          <w:sz w:val="28"/>
          <w:szCs w:val="28"/>
        </w:rPr>
      </w:pPr>
      <w:bookmarkStart w:id="69" w:name="_Toc22049"/>
      <w:bookmarkStart w:id="70" w:name="_Toc30839"/>
      <w:bookmarkStart w:id="71" w:name="_Toc17608"/>
      <w:bookmarkStart w:id="72" w:name="_Toc12463"/>
      <w:bookmarkStart w:id="73" w:name="_Toc8171"/>
      <w:bookmarkStart w:id="74" w:name="_Toc24103"/>
      <w:r>
        <w:rPr>
          <w:rFonts w:hint="eastAsia" w:ascii="宋体" w:cs="宋体"/>
          <w:b/>
          <w:bCs/>
          <w:kern w:val="0"/>
          <w:sz w:val="28"/>
          <w:szCs w:val="28"/>
        </w:rPr>
        <w:t>一、响应文件格式</w:t>
      </w:r>
    </w:p>
    <w:p>
      <w:pPr>
        <w:widowControl/>
        <w:spacing w:line="360" w:lineRule="auto"/>
        <w:ind w:left="-420" w:leftChars="-200" w:right="-506" w:rightChars="-241" w:firstLine="480" w:firstLineChars="200"/>
        <w:rPr>
          <w:rFonts w:ascii="宋体" w:cs="宋体"/>
          <w:kern w:val="0"/>
          <w:sz w:val="24"/>
        </w:rPr>
      </w:pPr>
      <w:r>
        <w:rPr>
          <w:rFonts w:hint="eastAsia" w:ascii="宋体" w:cs="宋体"/>
          <w:kern w:val="0"/>
          <w:sz w:val="24"/>
        </w:rPr>
        <w:t>1、参选人在编制响应文件必须使用本章所附格式并符合有关要求；本章未规定格式的，由参选人根据实际情况自主编制。</w:t>
      </w:r>
      <w:bookmarkEnd w:id="69"/>
      <w:bookmarkEnd w:id="70"/>
      <w:bookmarkEnd w:id="71"/>
      <w:bookmarkEnd w:id="72"/>
      <w:bookmarkEnd w:id="73"/>
      <w:bookmarkEnd w:id="74"/>
    </w:p>
    <w:p>
      <w:pPr>
        <w:widowControl/>
        <w:spacing w:line="360" w:lineRule="auto"/>
        <w:ind w:left="-420" w:leftChars="-200" w:right="-506" w:rightChars="-241" w:firstLine="480" w:firstLineChars="200"/>
        <w:rPr>
          <w:rFonts w:ascii="宋体" w:cs="宋体"/>
          <w:kern w:val="0"/>
          <w:sz w:val="24"/>
        </w:rPr>
      </w:pPr>
      <w:r>
        <w:rPr>
          <w:rFonts w:hint="eastAsia" w:ascii="宋体" w:cs="宋体"/>
          <w:kern w:val="0"/>
          <w:sz w:val="24"/>
        </w:rPr>
        <w:t>2、参选人应按本章所附格式的先后顺序编制响应文件。</w:t>
      </w:r>
    </w:p>
    <w:p>
      <w:pPr>
        <w:widowControl/>
        <w:spacing w:line="360" w:lineRule="auto"/>
        <w:ind w:left="-420" w:leftChars="-200" w:right="-506" w:rightChars="-241" w:firstLine="480" w:firstLineChars="200"/>
        <w:rPr>
          <w:rFonts w:ascii="宋体" w:cs="宋体"/>
          <w:kern w:val="0"/>
          <w:sz w:val="24"/>
        </w:rPr>
      </w:pPr>
      <w:r>
        <w:rPr>
          <w:rFonts w:hint="eastAsia" w:ascii="宋体" w:cs="宋体"/>
          <w:kern w:val="0"/>
          <w:sz w:val="24"/>
        </w:rPr>
        <w:t>3、参选人应在响应文件封面和《法定代表人授权书》中的“参选人”一栏填上参选人的全称并在名称上加盖参选人单位公章。</w:t>
      </w:r>
    </w:p>
    <w:p>
      <w:pPr>
        <w:widowControl/>
        <w:spacing w:line="360" w:lineRule="auto"/>
        <w:ind w:left="-420" w:leftChars="-200" w:right="-506" w:rightChars="-241" w:firstLine="480" w:firstLineChars="200"/>
        <w:rPr>
          <w:rFonts w:ascii="宋体" w:cs="宋体"/>
          <w:kern w:val="0"/>
          <w:sz w:val="24"/>
        </w:rPr>
      </w:pPr>
      <w:r>
        <w:rPr>
          <w:rFonts w:hint="eastAsia" w:ascii="宋体" w:cs="宋体"/>
          <w:kern w:val="0"/>
          <w:sz w:val="24"/>
        </w:rPr>
        <w:t>4、参选文件中的表格或空格如填写不下，可编辑扩充或另附页。除形式外，参选人不得改变其内容要求。本章所附格式，参选人为编制响应文件可以进行复印或编辑。</w:t>
      </w:r>
    </w:p>
    <w:p>
      <w:pPr>
        <w:widowControl/>
        <w:spacing w:line="360" w:lineRule="auto"/>
        <w:ind w:left="-420" w:leftChars="-200" w:right="-506" w:rightChars="-241" w:firstLine="480" w:firstLineChars="200"/>
        <w:rPr>
          <w:rFonts w:ascii="宋体" w:cs="宋体"/>
          <w:kern w:val="0"/>
          <w:sz w:val="24"/>
        </w:rPr>
      </w:pPr>
      <w:r>
        <w:rPr>
          <w:rFonts w:hint="eastAsia" w:ascii="宋体" w:cs="宋体"/>
          <w:kern w:val="0"/>
          <w:sz w:val="24"/>
        </w:rPr>
        <w:t>5、参选人应按比选文件格式的要求编制响应文件。响应文件密封后按规定的时间和地点提交。</w:t>
      </w:r>
    </w:p>
    <w:p>
      <w:pPr>
        <w:widowControl/>
        <w:spacing w:line="360" w:lineRule="auto"/>
        <w:ind w:right="-506" w:rightChars="-241"/>
        <w:rPr>
          <w:rFonts w:ascii="宋体" w:cs="宋体"/>
          <w:b/>
          <w:bCs/>
          <w:kern w:val="0"/>
          <w:sz w:val="28"/>
          <w:szCs w:val="28"/>
        </w:rPr>
      </w:pPr>
      <w:r>
        <w:rPr>
          <w:rFonts w:hint="eastAsia" w:ascii="宋体" w:cs="宋体"/>
          <w:b/>
          <w:bCs/>
          <w:kern w:val="0"/>
          <w:sz w:val="28"/>
          <w:szCs w:val="28"/>
        </w:rPr>
        <w:t>二、开标程序</w:t>
      </w:r>
    </w:p>
    <w:p>
      <w:pPr>
        <w:snapToGrid w:val="0"/>
        <w:spacing w:line="360" w:lineRule="auto"/>
        <w:rPr>
          <w:rFonts w:ascii="宋体" w:hAnsi="宋体" w:cs="宋体"/>
          <w:sz w:val="24"/>
        </w:rPr>
      </w:pPr>
      <w:r>
        <w:rPr>
          <w:rFonts w:hint="eastAsia" w:ascii="宋体" w:hAnsi="宋体" w:cs="宋体"/>
          <w:sz w:val="24"/>
        </w:rPr>
        <w:t xml:space="preserve">开标会议由发包人主持： </w:t>
      </w:r>
    </w:p>
    <w:p>
      <w:pPr>
        <w:snapToGrid w:val="0"/>
        <w:spacing w:line="360" w:lineRule="auto"/>
        <w:rPr>
          <w:rFonts w:ascii="宋体" w:hAnsi="宋体" w:cs="宋体"/>
          <w:sz w:val="24"/>
        </w:rPr>
      </w:pPr>
      <w:r>
        <w:rPr>
          <w:rFonts w:hint="eastAsia" w:ascii="宋体" w:hAnsi="宋体" w:cs="宋体"/>
          <w:sz w:val="24"/>
        </w:rPr>
        <w:t>（1）主持人宣布开标会议注意事项；</w:t>
      </w:r>
    </w:p>
    <w:p>
      <w:pPr>
        <w:snapToGrid w:val="0"/>
        <w:spacing w:line="360" w:lineRule="auto"/>
        <w:rPr>
          <w:rFonts w:ascii="宋体" w:hAnsi="宋体" w:cs="宋体"/>
          <w:sz w:val="24"/>
        </w:rPr>
      </w:pPr>
      <w:r>
        <w:rPr>
          <w:rFonts w:hint="eastAsia" w:ascii="宋体" w:hAnsi="宋体" w:cs="宋体"/>
          <w:sz w:val="24"/>
        </w:rPr>
        <w:t>（2）主持人宣布参加开标会议人员组成情况；</w:t>
      </w:r>
    </w:p>
    <w:p>
      <w:pPr>
        <w:snapToGrid w:val="0"/>
        <w:spacing w:line="360" w:lineRule="auto"/>
        <w:rPr>
          <w:rFonts w:ascii="宋体" w:hAnsi="宋体" w:cs="宋体"/>
          <w:sz w:val="24"/>
        </w:rPr>
      </w:pPr>
      <w:r>
        <w:rPr>
          <w:rFonts w:hint="eastAsia" w:ascii="宋体" w:hAnsi="宋体" w:cs="宋体"/>
          <w:sz w:val="24"/>
        </w:rPr>
        <w:t>（3）主持人宣布参加开标会议的参选人和《响应文件》送达情况；</w:t>
      </w:r>
    </w:p>
    <w:p>
      <w:pPr>
        <w:snapToGrid w:val="0"/>
        <w:spacing w:line="360" w:lineRule="auto"/>
        <w:ind w:left="655" w:hanging="655" w:hangingChars="273"/>
        <w:rPr>
          <w:rFonts w:ascii="宋体" w:hAnsi="宋体" w:cs="宋体"/>
          <w:sz w:val="24"/>
        </w:rPr>
      </w:pPr>
      <w:r>
        <w:rPr>
          <w:rFonts w:hint="eastAsia" w:ascii="宋体" w:hAnsi="宋体" w:cs="宋体"/>
          <w:sz w:val="24"/>
        </w:rPr>
        <w:t>（4）发包人代表对参选人到会的法人代表或法人代表授权委托人身份进行验证，宣布验证结果；（电子标无需到会）</w:t>
      </w:r>
    </w:p>
    <w:p>
      <w:pPr>
        <w:snapToGrid w:val="0"/>
        <w:spacing w:line="360" w:lineRule="auto"/>
        <w:ind w:left="638" w:hanging="638" w:hangingChars="266"/>
        <w:rPr>
          <w:rFonts w:ascii="宋体" w:hAnsi="宋体" w:cs="宋体"/>
          <w:sz w:val="24"/>
        </w:rPr>
      </w:pPr>
      <w:r>
        <w:rPr>
          <w:rFonts w:hint="eastAsia" w:ascii="宋体" w:hAnsi="宋体" w:cs="宋体"/>
          <w:sz w:val="24"/>
        </w:rPr>
        <w:t>（5）发包人代表或工作人员对各参选人《响应文件》的密封情况进行检查，宣布检查结果；</w:t>
      </w:r>
    </w:p>
    <w:p>
      <w:pPr>
        <w:snapToGrid w:val="0"/>
        <w:spacing w:line="360" w:lineRule="auto"/>
        <w:rPr>
          <w:rFonts w:ascii="宋体" w:hAnsi="宋体" w:cs="宋体"/>
          <w:sz w:val="24"/>
        </w:rPr>
      </w:pPr>
      <w:r>
        <w:rPr>
          <w:rFonts w:hint="eastAsia" w:ascii="宋体" w:hAnsi="宋体" w:cs="宋体"/>
          <w:sz w:val="24"/>
        </w:rPr>
        <w:t>（6）发包人公布响应报价（如有）上限等数据，请参选人退场；</w:t>
      </w:r>
    </w:p>
    <w:p>
      <w:pPr>
        <w:snapToGrid w:val="0"/>
        <w:spacing w:line="360" w:lineRule="auto"/>
        <w:ind w:left="638" w:hanging="638" w:hangingChars="266"/>
        <w:rPr>
          <w:rFonts w:ascii="宋体" w:hAnsi="宋体" w:cs="宋体"/>
          <w:sz w:val="24"/>
        </w:rPr>
      </w:pPr>
      <w:r>
        <w:rPr>
          <w:rFonts w:hint="eastAsia" w:ascii="宋体" w:hAnsi="宋体" w:cs="宋体"/>
          <w:sz w:val="24"/>
        </w:rPr>
        <w:t>（7）发包人评标委员会逐一对各参选人的《响应文件》进行符合性检查，并宣布检查结果；</w:t>
      </w:r>
    </w:p>
    <w:p>
      <w:pPr>
        <w:snapToGrid w:val="0"/>
        <w:spacing w:line="360" w:lineRule="auto"/>
        <w:rPr>
          <w:rFonts w:hint="eastAsia" w:ascii="宋体" w:hAnsi="宋体" w:eastAsia="宋体" w:cs="宋体"/>
          <w:sz w:val="24"/>
          <w:lang w:eastAsia="zh-CN"/>
        </w:rPr>
      </w:pPr>
      <w:r>
        <w:rPr>
          <w:rFonts w:hint="eastAsia" w:ascii="宋体" w:hAnsi="宋体" w:cs="宋体"/>
          <w:sz w:val="24"/>
        </w:rPr>
        <w:t>（8）评审委员会填写评审记录表，评审委员会成员签字</w:t>
      </w:r>
      <w:r>
        <w:rPr>
          <w:rFonts w:hint="eastAsia" w:ascii="宋体" w:hAnsi="宋体" w:cs="宋体"/>
          <w:sz w:val="24"/>
          <w:highlight w:val="none"/>
          <w:lang w:eastAsia="zh-CN"/>
        </w:rPr>
        <w:t>。</w:t>
      </w:r>
    </w:p>
    <w:p>
      <w:pPr>
        <w:snapToGrid w:val="0"/>
        <w:spacing w:line="360" w:lineRule="auto"/>
        <w:ind w:firstLine="480" w:firstLineChars="200"/>
        <w:rPr>
          <w:rFonts w:ascii="宋体" w:hAnsi="宋体" w:cs="宋体"/>
          <w:sz w:val="24"/>
        </w:rPr>
      </w:pPr>
    </w:p>
    <w:p>
      <w:pPr>
        <w:pStyle w:val="24"/>
        <w:ind w:firstLine="528"/>
        <w:rPr>
          <w:rFonts w:ascii="宋体" w:hAnsi="宋体" w:cs="宋体"/>
          <w:szCs w:val="24"/>
        </w:rPr>
      </w:pPr>
    </w:p>
    <w:p>
      <w:pPr>
        <w:rPr>
          <w:rFonts w:ascii="宋体" w:cs="宋体"/>
          <w:kern w:val="0"/>
          <w:sz w:val="32"/>
          <w:szCs w:val="32"/>
        </w:rPr>
      </w:pPr>
    </w:p>
    <w:p>
      <w:pPr>
        <w:widowControl/>
        <w:spacing w:line="360" w:lineRule="auto"/>
        <w:jc w:val="center"/>
        <w:rPr>
          <w:rFonts w:ascii="宋体" w:cs="宋体"/>
          <w:kern w:val="0"/>
          <w:sz w:val="32"/>
          <w:szCs w:val="32"/>
        </w:rPr>
      </w:pPr>
      <w:r>
        <w:rPr>
          <w:rFonts w:hint="eastAsia" w:ascii="宋体" w:cs="宋体"/>
          <w:kern w:val="0"/>
          <w:sz w:val="32"/>
          <w:szCs w:val="32"/>
        </w:rPr>
        <w:t>响应文件封面                                    正本</w:t>
      </w:r>
    </w:p>
    <w:p>
      <w:pPr>
        <w:widowControl/>
        <w:spacing w:line="360" w:lineRule="auto"/>
        <w:jc w:val="center"/>
        <w:rPr>
          <w:rFonts w:ascii="宋体"/>
          <w:b/>
          <w:bCs/>
          <w:sz w:val="40"/>
          <w:szCs w:val="40"/>
        </w:rPr>
      </w:pPr>
    </w:p>
    <w:p>
      <w:pPr>
        <w:pStyle w:val="2"/>
        <w:spacing w:after="0" w:line="360" w:lineRule="auto"/>
        <w:jc w:val="center"/>
        <w:rPr>
          <w:rFonts w:ascii="宋体"/>
          <w:b/>
          <w:bCs/>
          <w:sz w:val="40"/>
          <w:szCs w:val="40"/>
        </w:rPr>
      </w:pPr>
    </w:p>
    <w:p>
      <w:pPr>
        <w:widowControl/>
        <w:spacing w:line="360" w:lineRule="auto"/>
        <w:jc w:val="center"/>
        <w:rPr>
          <w:rFonts w:ascii="宋体"/>
          <w:b/>
          <w:bCs/>
          <w:sz w:val="40"/>
          <w:szCs w:val="40"/>
        </w:rPr>
      </w:pPr>
      <w:r>
        <w:rPr>
          <w:rFonts w:hint="eastAsia" w:ascii="宋体"/>
          <w:b/>
          <w:bCs/>
          <w:sz w:val="40"/>
          <w:szCs w:val="40"/>
        </w:rPr>
        <w:t>（项目名称）</w:t>
      </w:r>
    </w:p>
    <w:p>
      <w:pPr>
        <w:widowControl/>
        <w:spacing w:line="360" w:lineRule="auto"/>
        <w:ind w:firstLine="3360"/>
        <w:rPr>
          <w:rFonts w:ascii="宋体" w:cs="宋体"/>
          <w:kern w:val="0"/>
          <w:sz w:val="28"/>
          <w:szCs w:val="28"/>
        </w:rPr>
      </w:pPr>
    </w:p>
    <w:p>
      <w:pPr>
        <w:pStyle w:val="24"/>
        <w:ind w:firstLine="608"/>
        <w:rPr>
          <w:rFonts w:ascii="宋体" w:cs="宋体"/>
          <w:sz w:val="28"/>
          <w:szCs w:val="28"/>
        </w:rPr>
      </w:pPr>
    </w:p>
    <w:p>
      <w:pPr>
        <w:rPr>
          <w:rFonts w:ascii="宋体" w:cs="宋体"/>
          <w:kern w:val="0"/>
          <w:sz w:val="28"/>
          <w:szCs w:val="28"/>
        </w:rPr>
      </w:pPr>
    </w:p>
    <w:p>
      <w:pPr>
        <w:pStyle w:val="24"/>
        <w:ind w:firstLine="528"/>
      </w:pPr>
    </w:p>
    <w:p>
      <w:pPr>
        <w:pStyle w:val="24"/>
        <w:ind w:firstLine="384" w:firstLineChars="100"/>
        <w:rPr>
          <w:rFonts w:ascii="黑体" w:hAnsi="黑体" w:eastAsia="黑体" w:cs="宋体"/>
          <w:snapToGrid w:val="0"/>
          <w:sz w:val="36"/>
          <w:szCs w:val="36"/>
        </w:rPr>
      </w:pPr>
    </w:p>
    <w:p>
      <w:pPr>
        <w:pStyle w:val="24"/>
        <w:tabs>
          <w:tab w:val="left" w:pos="1354"/>
          <w:tab w:val="clear" w:pos="8280"/>
        </w:tabs>
        <w:ind w:firstLine="1156" w:firstLineChars="300"/>
        <w:rPr>
          <w:sz w:val="44"/>
          <w:szCs w:val="44"/>
        </w:rPr>
      </w:pPr>
      <w:r>
        <w:rPr>
          <w:rFonts w:hint="eastAsia" w:ascii="宋体" w:cs="宋体"/>
          <w:b/>
          <w:bCs/>
          <w:sz w:val="36"/>
          <w:szCs w:val="36"/>
        </w:rPr>
        <w:t xml:space="preserve">           响应文件</w:t>
      </w:r>
    </w:p>
    <w:p>
      <w:pPr>
        <w:pStyle w:val="24"/>
        <w:ind w:firstLine="2408" w:firstLineChars="700"/>
        <w:rPr>
          <w:rFonts w:ascii="宋体" w:cs="宋体"/>
          <w:sz w:val="32"/>
          <w:szCs w:val="32"/>
        </w:rPr>
      </w:pPr>
    </w:p>
    <w:p>
      <w:pPr>
        <w:pStyle w:val="24"/>
        <w:ind w:firstLine="3252" w:firstLineChars="1000"/>
        <w:rPr>
          <w:rFonts w:ascii="宋体" w:cs="宋体"/>
          <w:b/>
          <w:bCs/>
          <w:sz w:val="30"/>
          <w:szCs w:val="30"/>
        </w:rPr>
      </w:pPr>
    </w:p>
    <w:p>
      <w:pPr>
        <w:pStyle w:val="24"/>
        <w:ind w:firstLine="688"/>
        <w:rPr>
          <w:rFonts w:ascii="宋体" w:cs="宋体"/>
          <w:sz w:val="32"/>
          <w:szCs w:val="32"/>
        </w:rPr>
      </w:pPr>
    </w:p>
    <w:p>
      <w:pPr>
        <w:pStyle w:val="24"/>
        <w:ind w:firstLine="688"/>
        <w:rPr>
          <w:rFonts w:ascii="宋体" w:cs="宋体"/>
          <w:sz w:val="32"/>
          <w:szCs w:val="32"/>
        </w:rPr>
      </w:pPr>
    </w:p>
    <w:p>
      <w:pPr>
        <w:widowControl/>
        <w:spacing w:line="720" w:lineRule="auto"/>
        <w:ind w:firstLine="320" w:firstLineChars="100"/>
        <w:rPr>
          <w:rFonts w:ascii="宋体" w:cs="宋体"/>
          <w:kern w:val="0"/>
          <w:sz w:val="32"/>
          <w:szCs w:val="32"/>
          <w:u w:val="single"/>
        </w:rPr>
      </w:pPr>
      <w:r>
        <w:rPr>
          <w:rFonts w:hint="eastAsia" w:ascii="宋体" w:cs="宋体"/>
          <w:kern w:val="0"/>
          <w:sz w:val="32"/>
          <w:szCs w:val="32"/>
        </w:rPr>
        <w:t>参选人：（盖单位章）</w:t>
      </w:r>
    </w:p>
    <w:p>
      <w:pPr>
        <w:widowControl/>
        <w:spacing w:line="720" w:lineRule="auto"/>
        <w:ind w:firstLine="320" w:firstLineChars="100"/>
        <w:rPr>
          <w:rFonts w:ascii="宋体" w:cs="宋体"/>
          <w:kern w:val="0"/>
          <w:sz w:val="32"/>
          <w:szCs w:val="32"/>
        </w:rPr>
      </w:pPr>
      <w:r>
        <w:rPr>
          <w:rFonts w:hint="eastAsia" w:ascii="宋体" w:cs="宋体"/>
          <w:kern w:val="0"/>
          <w:sz w:val="32"/>
          <w:szCs w:val="32"/>
        </w:rPr>
        <w:t>法定代表人或其委托代理人：（印鉴或签字）</w:t>
      </w:r>
    </w:p>
    <w:p>
      <w:pPr>
        <w:pStyle w:val="24"/>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jc w:val="center"/>
        <w:rPr>
          <w:rFonts w:ascii="宋体" w:cs="宋体"/>
          <w:b/>
          <w:bCs/>
          <w:kern w:val="0"/>
          <w:sz w:val="36"/>
          <w:szCs w:val="36"/>
        </w:rPr>
      </w:pPr>
      <w:bookmarkStart w:id="75" w:name="_Toc2536"/>
      <w:bookmarkStart w:id="76" w:name="_Toc25572"/>
      <w:bookmarkStart w:id="77" w:name="_Toc29658"/>
      <w:bookmarkStart w:id="78" w:name="_Toc25160"/>
      <w:bookmarkStart w:id="79" w:name="_Toc24025"/>
      <w:bookmarkStart w:id="80" w:name="_Toc8581"/>
      <w:bookmarkStart w:id="81" w:name="_Toc26388"/>
      <w:bookmarkStart w:id="82" w:name="_Toc18593"/>
    </w:p>
    <w:p>
      <w:pPr>
        <w:jc w:val="center"/>
        <w:rPr>
          <w:rFonts w:ascii="宋体" w:cs="宋体"/>
          <w:b/>
          <w:bCs/>
          <w:kern w:val="0"/>
          <w:sz w:val="36"/>
          <w:szCs w:val="36"/>
        </w:rPr>
      </w:pPr>
    </w:p>
    <w:p>
      <w:pPr>
        <w:pStyle w:val="32"/>
      </w:pPr>
    </w:p>
    <w:p>
      <w:pPr>
        <w:jc w:val="center"/>
        <w:rPr>
          <w:rFonts w:ascii="宋体" w:cs="宋体"/>
          <w:kern w:val="0"/>
          <w:sz w:val="36"/>
          <w:szCs w:val="36"/>
        </w:rPr>
      </w:pPr>
      <w:r>
        <w:rPr>
          <w:rFonts w:hint="eastAsia" w:ascii="宋体" w:cs="宋体"/>
          <w:b/>
          <w:bCs/>
          <w:kern w:val="0"/>
          <w:sz w:val="36"/>
          <w:szCs w:val="36"/>
        </w:rPr>
        <w:t>目  录</w:t>
      </w:r>
    </w:p>
    <w:p>
      <w:pPr>
        <w:pStyle w:val="2"/>
        <w:rPr>
          <w:sz w:val="40"/>
        </w:rPr>
      </w:pPr>
    </w:p>
    <w:p>
      <w:pPr>
        <w:pStyle w:val="2"/>
        <w:ind w:firstLine="960" w:firstLineChars="300"/>
        <w:rPr>
          <w:sz w:val="32"/>
        </w:rPr>
      </w:pPr>
      <w:r>
        <w:rPr>
          <w:rFonts w:hint="eastAsia"/>
          <w:sz w:val="32"/>
        </w:rPr>
        <w:t>第一章   响应函</w:t>
      </w:r>
    </w:p>
    <w:p>
      <w:pPr>
        <w:pStyle w:val="2"/>
        <w:ind w:firstLine="960" w:firstLineChars="300"/>
        <w:rPr>
          <w:sz w:val="32"/>
        </w:rPr>
      </w:pPr>
      <w:r>
        <w:rPr>
          <w:rFonts w:hint="eastAsia"/>
          <w:sz w:val="32"/>
        </w:rPr>
        <w:t xml:space="preserve">第二章   </w:t>
      </w:r>
      <w:r>
        <w:rPr>
          <w:rFonts w:hint="eastAsia"/>
          <w:sz w:val="32"/>
          <w:lang w:val="zh-CN"/>
        </w:rPr>
        <w:t>法定代表人身份证明</w:t>
      </w:r>
    </w:p>
    <w:p>
      <w:pPr>
        <w:pStyle w:val="2"/>
        <w:ind w:firstLine="960" w:firstLineChars="300"/>
        <w:rPr>
          <w:sz w:val="32"/>
        </w:rPr>
      </w:pPr>
      <w:r>
        <w:rPr>
          <w:rFonts w:hint="eastAsia"/>
          <w:sz w:val="32"/>
        </w:rPr>
        <w:t xml:space="preserve">第三章   </w:t>
      </w:r>
      <w:r>
        <w:rPr>
          <w:rFonts w:hint="eastAsia"/>
          <w:sz w:val="32"/>
          <w:lang w:val="zh-CN"/>
        </w:rPr>
        <w:t>法定代表人授权委托书</w:t>
      </w:r>
    </w:p>
    <w:p>
      <w:pPr>
        <w:pStyle w:val="2"/>
        <w:ind w:firstLine="960" w:firstLineChars="300"/>
        <w:rPr>
          <w:sz w:val="32"/>
        </w:rPr>
      </w:pPr>
      <w:r>
        <w:rPr>
          <w:rFonts w:hint="eastAsia"/>
          <w:sz w:val="32"/>
        </w:rPr>
        <w:t xml:space="preserve">第四章   </w:t>
      </w:r>
      <w:r>
        <w:rPr>
          <w:rFonts w:hint="eastAsia"/>
          <w:sz w:val="32"/>
          <w:lang w:val="zh-CN"/>
        </w:rPr>
        <w:t>组织机构基本情况</w:t>
      </w:r>
    </w:p>
    <w:p>
      <w:pPr>
        <w:pStyle w:val="2"/>
        <w:ind w:firstLine="960" w:firstLineChars="300"/>
        <w:rPr>
          <w:sz w:val="32"/>
        </w:rPr>
      </w:pPr>
      <w:r>
        <w:rPr>
          <w:rFonts w:hint="eastAsia"/>
          <w:sz w:val="32"/>
        </w:rPr>
        <w:t>第五章   信用中国查询结果</w:t>
      </w:r>
    </w:p>
    <w:p>
      <w:pPr>
        <w:pStyle w:val="2"/>
        <w:ind w:firstLine="960" w:firstLineChars="300"/>
        <w:rPr>
          <w:sz w:val="32"/>
        </w:rPr>
      </w:pPr>
      <w:r>
        <w:rPr>
          <w:rFonts w:hint="eastAsia"/>
          <w:sz w:val="32"/>
        </w:rPr>
        <w:t>第六章   报价明细表</w:t>
      </w:r>
    </w:p>
    <w:p>
      <w:pPr>
        <w:pStyle w:val="2"/>
        <w:ind w:firstLine="960" w:firstLineChars="300"/>
        <w:rPr>
          <w:sz w:val="32"/>
        </w:rPr>
      </w:pPr>
      <w:r>
        <w:rPr>
          <w:rFonts w:hint="eastAsia"/>
          <w:sz w:val="32"/>
        </w:rPr>
        <w:t>第七章   企业业绩及运营情况（选填）</w:t>
      </w:r>
    </w:p>
    <w:p>
      <w:pPr>
        <w:rPr>
          <w:rFonts w:ascii="宋体"/>
          <w:lang w:val="zh-CN"/>
        </w:rPr>
      </w:pPr>
    </w:p>
    <w:p>
      <w:pPr>
        <w:rPr>
          <w:rFonts w:ascii="宋体"/>
          <w:lang w:val="zh-CN"/>
        </w:rPr>
      </w:pPr>
      <w:r>
        <w:rPr>
          <w:rFonts w:hint="eastAsia" w:ascii="宋体"/>
          <w:lang w:val="zh-CN"/>
        </w:rPr>
        <w:br w:type="page"/>
      </w:r>
    </w:p>
    <w:p>
      <w:pPr>
        <w:pStyle w:val="5"/>
        <w:jc w:val="center"/>
        <w:rPr>
          <w:rFonts w:ascii="宋体"/>
          <w:lang w:val="zh-CN"/>
        </w:rPr>
      </w:pPr>
      <w:r>
        <w:rPr>
          <w:rFonts w:hint="eastAsia" w:ascii="宋体"/>
          <w:lang w:val="zh-CN"/>
        </w:rPr>
        <w:t>一、</w:t>
      </w:r>
      <w:r>
        <w:rPr>
          <w:rFonts w:hint="eastAsia" w:ascii="宋体"/>
        </w:rPr>
        <w:t>响应</w:t>
      </w:r>
      <w:r>
        <w:rPr>
          <w:rFonts w:hint="eastAsia" w:ascii="宋体"/>
          <w:lang w:val="zh-CN"/>
        </w:rPr>
        <w:t>函</w:t>
      </w:r>
      <w:bookmarkEnd w:id="75"/>
      <w:bookmarkEnd w:id="76"/>
      <w:bookmarkEnd w:id="77"/>
      <w:bookmarkEnd w:id="78"/>
      <w:bookmarkEnd w:id="79"/>
      <w:bookmarkEnd w:id="80"/>
      <w:bookmarkEnd w:id="81"/>
    </w:p>
    <w:p>
      <w:pPr>
        <w:spacing w:line="520" w:lineRule="exact"/>
        <w:rPr>
          <w:rFonts w:ascii="宋体" w:cs="宋体"/>
          <w:sz w:val="28"/>
          <w:szCs w:val="28"/>
          <w:u w:val="single"/>
        </w:rPr>
      </w:pPr>
      <w:r>
        <w:rPr>
          <w:rFonts w:hint="eastAsia" w:ascii="宋体" w:cs="宋体"/>
          <w:sz w:val="28"/>
          <w:szCs w:val="28"/>
        </w:rPr>
        <w:t>致：</w:t>
      </w:r>
      <w:r>
        <w:rPr>
          <w:rFonts w:hint="eastAsia" w:ascii="宋体" w:cs="宋体"/>
          <w:sz w:val="28"/>
          <w:szCs w:val="28"/>
          <w:u w:val="single"/>
        </w:rPr>
        <w:t>石家庄承宏工程建设有限公司</w:t>
      </w:r>
    </w:p>
    <w:p>
      <w:pPr>
        <w:spacing w:line="520" w:lineRule="exact"/>
        <w:ind w:firstLine="560" w:firstLineChars="200"/>
        <w:rPr>
          <w:rFonts w:ascii="宋体" w:cs="宋体"/>
          <w:sz w:val="28"/>
          <w:szCs w:val="28"/>
        </w:rPr>
      </w:pPr>
      <w:r>
        <w:rPr>
          <w:rFonts w:hint="eastAsia" w:ascii="宋体" w:cs="宋体"/>
          <w:sz w:val="28"/>
          <w:szCs w:val="28"/>
        </w:rPr>
        <w:t>1．我方已仔细阅读研究了</w:t>
      </w:r>
      <w:r>
        <w:rPr>
          <w:rFonts w:hint="eastAsia" w:ascii="宋体" w:cs="宋体"/>
          <w:sz w:val="28"/>
          <w:szCs w:val="28"/>
          <w:u w:val="single"/>
        </w:rPr>
        <w:t>（项目名称）</w:t>
      </w:r>
      <w:r>
        <w:rPr>
          <w:rFonts w:hint="eastAsia" w:ascii="宋体" w:cs="宋体"/>
          <w:sz w:val="28"/>
          <w:szCs w:val="28"/>
        </w:rPr>
        <w:t>比选文件，自愿参加本项目的比选活动。</w:t>
      </w:r>
    </w:p>
    <w:p>
      <w:pPr>
        <w:spacing w:line="520" w:lineRule="exact"/>
        <w:ind w:firstLine="560" w:firstLineChars="200"/>
        <w:rPr>
          <w:rFonts w:ascii="宋体" w:cs="宋体"/>
          <w:sz w:val="28"/>
          <w:szCs w:val="28"/>
        </w:rPr>
      </w:pPr>
      <w:r>
        <w:rPr>
          <w:rFonts w:hint="eastAsia" w:ascii="宋体" w:cs="宋体"/>
          <w:sz w:val="28"/>
          <w:szCs w:val="28"/>
        </w:rPr>
        <w:t>2. 我方已认真核对和检查了比选文件，全部内容均真实、准确，我方对此负完全责任，并愿意承担由此而引起的法律责任。</w:t>
      </w:r>
    </w:p>
    <w:p>
      <w:pPr>
        <w:spacing w:line="520" w:lineRule="exact"/>
        <w:ind w:firstLine="560" w:firstLineChars="200"/>
        <w:rPr>
          <w:rFonts w:ascii="宋体" w:cs="宋体"/>
          <w:sz w:val="28"/>
          <w:szCs w:val="28"/>
        </w:rPr>
      </w:pPr>
      <w:r>
        <w:rPr>
          <w:rFonts w:hint="eastAsia" w:ascii="宋体" w:cs="宋体"/>
          <w:sz w:val="28"/>
          <w:szCs w:val="28"/>
        </w:rPr>
        <w:t>3.我方完全理解，无论中选与否，你方均不负担我方因参加比选活动而发生的任何费用。</w:t>
      </w:r>
    </w:p>
    <w:p>
      <w:pPr>
        <w:spacing w:line="520" w:lineRule="exact"/>
        <w:ind w:firstLine="560" w:firstLineChars="200"/>
        <w:rPr>
          <w:rFonts w:ascii="宋体" w:cs="宋体"/>
          <w:sz w:val="28"/>
          <w:szCs w:val="28"/>
        </w:rPr>
      </w:pPr>
      <w:r>
        <w:rPr>
          <w:rFonts w:hint="eastAsia" w:ascii="宋体" w:cs="宋体"/>
          <w:sz w:val="28"/>
          <w:szCs w:val="28"/>
        </w:rPr>
        <w:t>4. 如我方中选：</w:t>
      </w:r>
    </w:p>
    <w:p>
      <w:pPr>
        <w:spacing w:line="520" w:lineRule="exact"/>
        <w:ind w:firstLine="560" w:firstLineChars="200"/>
        <w:rPr>
          <w:rFonts w:ascii="宋体" w:cs="宋体"/>
          <w:sz w:val="28"/>
          <w:szCs w:val="28"/>
        </w:rPr>
      </w:pPr>
      <w:r>
        <w:rPr>
          <w:rFonts w:hint="eastAsia" w:ascii="宋体" w:cs="宋体"/>
          <w:sz w:val="28"/>
          <w:szCs w:val="28"/>
        </w:rPr>
        <w:t>（1）我方承诺服务期为</w:t>
      </w:r>
      <w:r>
        <w:rPr>
          <w:rFonts w:hint="eastAsia" w:ascii="宋体" w:cs="宋体"/>
          <w:sz w:val="28"/>
          <w:szCs w:val="28"/>
          <w:u w:val="single"/>
        </w:rPr>
        <w:t>合同开始至完成</w:t>
      </w:r>
      <w:r>
        <w:rPr>
          <w:rFonts w:hint="eastAsia" w:ascii="宋体" w:cs="宋体"/>
          <w:sz w:val="28"/>
          <w:szCs w:val="28"/>
        </w:rPr>
        <w:t xml:space="preserve">，产品质量承诺 </w:t>
      </w:r>
      <w:r>
        <w:rPr>
          <w:rFonts w:hint="eastAsia" w:ascii="宋体" w:cs="宋体"/>
          <w:sz w:val="28"/>
          <w:szCs w:val="28"/>
          <w:u w:val="single"/>
        </w:rPr>
        <w:t xml:space="preserve">符合国家相关规定，并保证所有证件真实、合法、有效 </w:t>
      </w:r>
      <w:r>
        <w:rPr>
          <w:rFonts w:hint="eastAsia" w:ascii="宋体" w:cs="宋体"/>
          <w:sz w:val="28"/>
          <w:szCs w:val="28"/>
        </w:rPr>
        <w:t>。</w:t>
      </w:r>
    </w:p>
    <w:p>
      <w:pPr>
        <w:spacing w:line="520" w:lineRule="exact"/>
        <w:ind w:firstLine="560" w:firstLineChars="200"/>
        <w:rPr>
          <w:rFonts w:ascii="宋体" w:cs="宋体"/>
          <w:sz w:val="28"/>
          <w:szCs w:val="28"/>
        </w:rPr>
      </w:pPr>
      <w:r>
        <w:rPr>
          <w:rFonts w:hint="eastAsia" w:ascii="宋体" w:cs="宋体"/>
          <w:sz w:val="28"/>
          <w:szCs w:val="28"/>
        </w:rPr>
        <w:t>（2）我方承诺在响应文件规定的效期内不撤销和修改响应文件。</w:t>
      </w:r>
    </w:p>
    <w:p>
      <w:pPr>
        <w:spacing w:line="520" w:lineRule="exact"/>
        <w:ind w:firstLine="560" w:firstLineChars="200"/>
        <w:rPr>
          <w:rFonts w:ascii="宋体" w:cs="宋体"/>
          <w:sz w:val="28"/>
          <w:szCs w:val="28"/>
        </w:rPr>
      </w:pPr>
      <w:r>
        <w:rPr>
          <w:rFonts w:hint="eastAsia" w:ascii="宋体" w:cs="宋体"/>
          <w:sz w:val="28"/>
          <w:szCs w:val="28"/>
        </w:rPr>
        <w:t>（3）我方将严格按照本响应文件的承诺和合同的约定，完成相应工作。</w:t>
      </w:r>
    </w:p>
    <w:p>
      <w:pPr>
        <w:spacing w:line="340" w:lineRule="exact"/>
        <w:ind w:firstLine="560" w:firstLineChars="200"/>
        <w:rPr>
          <w:rFonts w:ascii="宋体" w:cs="宋体"/>
          <w:sz w:val="28"/>
          <w:szCs w:val="28"/>
        </w:rPr>
      </w:pPr>
    </w:p>
    <w:p>
      <w:pPr>
        <w:spacing w:line="540" w:lineRule="exact"/>
        <w:ind w:firstLine="840" w:firstLineChars="300"/>
        <w:rPr>
          <w:rFonts w:ascii="宋体" w:cs="宋体"/>
          <w:sz w:val="28"/>
          <w:szCs w:val="28"/>
          <w:u w:val="single"/>
        </w:rPr>
      </w:pPr>
      <w:r>
        <w:rPr>
          <w:rFonts w:hint="eastAsia" w:ascii="宋体" w:cs="宋体"/>
          <w:sz w:val="28"/>
          <w:szCs w:val="28"/>
        </w:rPr>
        <w:t>响应人：（盖单位章）</w:t>
      </w:r>
    </w:p>
    <w:p>
      <w:pPr>
        <w:spacing w:line="540" w:lineRule="exact"/>
        <w:ind w:firstLine="840" w:firstLineChars="300"/>
        <w:rPr>
          <w:rFonts w:ascii="宋体" w:cs="宋体"/>
          <w:sz w:val="28"/>
          <w:szCs w:val="28"/>
          <w:u w:val="single"/>
        </w:rPr>
      </w:pPr>
      <w:r>
        <w:rPr>
          <w:rFonts w:hint="eastAsia" w:ascii="宋体" w:cs="宋体"/>
          <w:sz w:val="28"/>
          <w:szCs w:val="28"/>
        </w:rPr>
        <w:t>法定代表人或其委托代理人：（印鉴或签字）</w:t>
      </w:r>
    </w:p>
    <w:p>
      <w:pPr>
        <w:spacing w:line="540" w:lineRule="exact"/>
        <w:ind w:firstLine="840" w:firstLineChars="300"/>
        <w:rPr>
          <w:rFonts w:ascii="宋体" w:cs="宋体"/>
          <w:sz w:val="28"/>
          <w:szCs w:val="28"/>
        </w:rPr>
      </w:pPr>
      <w:r>
        <w:rPr>
          <w:rFonts w:hint="eastAsia" w:ascii="宋体" w:cs="宋体"/>
          <w:sz w:val="28"/>
          <w:szCs w:val="28"/>
        </w:rPr>
        <w:t>地址：</w:t>
      </w:r>
    </w:p>
    <w:p>
      <w:pPr>
        <w:spacing w:line="540" w:lineRule="exact"/>
        <w:ind w:firstLine="840" w:firstLineChars="300"/>
        <w:rPr>
          <w:rFonts w:ascii="宋体" w:cs="宋体"/>
          <w:sz w:val="28"/>
          <w:szCs w:val="28"/>
        </w:rPr>
      </w:pPr>
      <w:r>
        <w:rPr>
          <w:rFonts w:hint="eastAsia" w:ascii="宋体" w:cs="宋体"/>
          <w:sz w:val="28"/>
          <w:szCs w:val="28"/>
        </w:rPr>
        <w:t>电话：</w:t>
      </w:r>
    </w:p>
    <w:p>
      <w:pPr>
        <w:spacing w:line="540" w:lineRule="exact"/>
        <w:ind w:firstLine="840" w:firstLineChars="300"/>
        <w:rPr>
          <w:rFonts w:ascii="宋体" w:cs="宋体"/>
          <w:sz w:val="28"/>
          <w:szCs w:val="28"/>
        </w:rPr>
      </w:pPr>
      <w:r>
        <w:rPr>
          <w:rFonts w:hint="eastAsia" w:ascii="宋体" w:cs="宋体"/>
          <w:sz w:val="28"/>
          <w:szCs w:val="28"/>
        </w:rPr>
        <w:t>传真：</w:t>
      </w:r>
    </w:p>
    <w:p>
      <w:pPr>
        <w:spacing w:line="540" w:lineRule="exact"/>
        <w:ind w:firstLine="840" w:firstLineChars="300"/>
        <w:rPr>
          <w:rFonts w:ascii="宋体" w:cs="宋体"/>
          <w:sz w:val="28"/>
          <w:szCs w:val="28"/>
        </w:rPr>
      </w:pPr>
    </w:p>
    <w:p>
      <w:pPr>
        <w:wordWrap w:val="0"/>
        <w:spacing w:line="360" w:lineRule="auto"/>
        <w:ind w:firstLine="2520" w:firstLineChars="900"/>
        <w:jc w:val="right"/>
        <w:rPr>
          <w:color w:val="000000"/>
          <w:sz w:val="28"/>
          <w:szCs w:val="28"/>
        </w:rPr>
      </w:pPr>
      <w:r>
        <w:rPr>
          <w:rFonts w:hint="eastAsia" w:ascii="宋体" w:cs="宋体"/>
          <w:sz w:val="28"/>
          <w:szCs w:val="28"/>
        </w:rPr>
        <w:t xml:space="preserve">  </w:t>
      </w:r>
      <w:r>
        <w:rPr>
          <w:rFonts w:ascii="宋体" w:cs="宋体"/>
          <w:sz w:val="28"/>
          <w:szCs w:val="28"/>
        </w:rPr>
        <w:t>年</w:t>
      </w:r>
      <w:r>
        <w:rPr>
          <w:rFonts w:hint="eastAsia" w:ascii="宋体" w:cs="宋体"/>
          <w:sz w:val="28"/>
          <w:szCs w:val="28"/>
        </w:rPr>
        <w:t xml:space="preserve">   </w:t>
      </w:r>
      <w:r>
        <w:rPr>
          <w:rFonts w:ascii="宋体" w:cs="宋体"/>
          <w:sz w:val="28"/>
          <w:szCs w:val="28"/>
        </w:rPr>
        <w:t>月</w:t>
      </w:r>
      <w:r>
        <w:rPr>
          <w:rFonts w:hint="eastAsia" w:ascii="宋体" w:cs="宋体"/>
          <w:sz w:val="28"/>
          <w:szCs w:val="28"/>
        </w:rPr>
        <w:t xml:space="preserve">   </w:t>
      </w:r>
      <w:r>
        <w:rPr>
          <w:rFonts w:ascii="宋体" w:cs="宋体"/>
          <w:sz w:val="28"/>
          <w:szCs w:val="28"/>
        </w:rPr>
        <w:t>日</w:t>
      </w:r>
      <w:r>
        <w:rPr>
          <w:rFonts w:hint="eastAsia" w:ascii="宋体" w:cs="宋体"/>
          <w:sz w:val="28"/>
          <w:szCs w:val="28"/>
        </w:rPr>
        <w:t xml:space="preserve">  </w:t>
      </w:r>
    </w:p>
    <w:p>
      <w:pPr>
        <w:spacing w:line="540" w:lineRule="exact"/>
        <w:ind w:firstLine="420" w:firstLineChars="200"/>
      </w:pPr>
    </w:p>
    <w:p>
      <w:pPr>
        <w:spacing w:line="540" w:lineRule="exact"/>
        <w:ind w:firstLine="420" w:firstLineChars="200"/>
      </w:pPr>
    </w:p>
    <w:p>
      <w:pPr>
        <w:spacing w:line="360" w:lineRule="auto"/>
        <w:jc w:val="center"/>
        <w:rPr>
          <w:rFonts w:ascii="宋体"/>
          <w:b/>
          <w:bCs/>
          <w:sz w:val="32"/>
          <w:szCs w:val="32"/>
          <w:lang w:val="zh-CN"/>
        </w:rPr>
      </w:pPr>
      <w:bookmarkStart w:id="83" w:name="_Toc144974467"/>
      <w:bookmarkStart w:id="84" w:name="_Toc360630803"/>
      <w:bookmarkStart w:id="85" w:name="_Toc152047263"/>
      <w:bookmarkStart w:id="86" w:name="_Toc179715756"/>
      <w:bookmarkStart w:id="87" w:name="_Toc396236150"/>
      <w:bookmarkStart w:id="88" w:name="_Toc396236624"/>
    </w:p>
    <w:p>
      <w:pPr>
        <w:pStyle w:val="5"/>
        <w:jc w:val="center"/>
        <w:rPr>
          <w:rFonts w:ascii="宋体"/>
          <w:lang w:val="zh-CN"/>
        </w:rPr>
      </w:pPr>
      <w:bookmarkStart w:id="89" w:name="_Toc2275"/>
      <w:bookmarkStart w:id="90" w:name="_Toc28057"/>
      <w:bookmarkStart w:id="91" w:name="_Toc1388"/>
      <w:bookmarkStart w:id="92" w:name="_Toc15196"/>
      <w:bookmarkStart w:id="93" w:name="_Toc7836"/>
      <w:bookmarkStart w:id="94" w:name="_Toc21776"/>
      <w:r>
        <w:rPr>
          <w:rFonts w:hint="eastAsia" w:ascii="宋体"/>
          <w:lang w:val="zh-CN"/>
        </w:rPr>
        <w:t>二、</w:t>
      </w:r>
      <w:bookmarkEnd w:id="89"/>
      <w:bookmarkEnd w:id="90"/>
      <w:bookmarkEnd w:id="91"/>
      <w:bookmarkEnd w:id="92"/>
      <w:bookmarkEnd w:id="93"/>
      <w:bookmarkEnd w:id="94"/>
      <w:bookmarkStart w:id="95" w:name="_Toc18381"/>
      <w:bookmarkStart w:id="96" w:name="_Toc27828"/>
      <w:bookmarkStart w:id="97" w:name="_Toc1051"/>
      <w:bookmarkStart w:id="98" w:name="_Toc2574"/>
      <w:bookmarkStart w:id="99" w:name="_Toc26913"/>
      <w:bookmarkStart w:id="100" w:name="_Toc25898"/>
      <w:bookmarkStart w:id="101" w:name="_Toc10832"/>
      <w:r>
        <w:rPr>
          <w:rFonts w:hint="eastAsia" w:ascii="宋体"/>
          <w:lang w:val="zh-CN"/>
        </w:rPr>
        <w:t>法定代表人身份证明</w:t>
      </w:r>
      <w:bookmarkEnd w:id="83"/>
      <w:bookmarkEnd w:id="84"/>
      <w:bookmarkEnd w:id="85"/>
      <w:bookmarkEnd w:id="86"/>
      <w:bookmarkEnd w:id="87"/>
      <w:bookmarkEnd w:id="88"/>
      <w:bookmarkEnd w:id="95"/>
      <w:bookmarkEnd w:id="96"/>
      <w:bookmarkEnd w:id="97"/>
      <w:bookmarkEnd w:id="98"/>
      <w:bookmarkEnd w:id="99"/>
      <w:bookmarkEnd w:id="100"/>
      <w:bookmarkEnd w:id="101"/>
    </w:p>
    <w:p>
      <w:pPr>
        <w:spacing w:line="540" w:lineRule="exact"/>
      </w:pPr>
    </w:p>
    <w:p>
      <w:pPr>
        <w:topLinePunct/>
        <w:spacing w:line="540" w:lineRule="exact"/>
        <w:rPr>
          <w:rFonts w:ascii="宋体" w:cs="宋体"/>
          <w:bCs/>
          <w:sz w:val="28"/>
          <w:szCs w:val="28"/>
          <w:u w:val="single"/>
        </w:rPr>
      </w:pPr>
      <w:r>
        <w:rPr>
          <w:rFonts w:hint="eastAsia" w:ascii="宋体" w:cs="宋体"/>
          <w:bCs/>
          <w:sz w:val="28"/>
          <w:szCs w:val="28"/>
        </w:rPr>
        <w:t>响应人名称：</w:t>
      </w:r>
    </w:p>
    <w:p>
      <w:pPr>
        <w:topLinePunct/>
        <w:spacing w:line="540" w:lineRule="exact"/>
        <w:rPr>
          <w:rFonts w:ascii="宋体" w:cs="宋体"/>
          <w:bCs/>
          <w:sz w:val="28"/>
          <w:szCs w:val="28"/>
          <w:u w:val="single"/>
        </w:rPr>
      </w:pPr>
      <w:r>
        <w:rPr>
          <w:rFonts w:hint="eastAsia" w:ascii="宋体" w:cs="宋体"/>
          <w:bCs/>
          <w:sz w:val="28"/>
          <w:szCs w:val="28"/>
        </w:rPr>
        <w:t>单位性质：</w:t>
      </w:r>
    </w:p>
    <w:p>
      <w:pPr>
        <w:topLinePunct/>
        <w:spacing w:line="540" w:lineRule="exact"/>
        <w:rPr>
          <w:rFonts w:ascii="宋体" w:cs="宋体"/>
          <w:bCs/>
          <w:sz w:val="28"/>
          <w:szCs w:val="28"/>
          <w:u w:val="single"/>
        </w:rPr>
      </w:pPr>
      <w:r>
        <w:rPr>
          <w:rFonts w:hint="eastAsia" w:ascii="宋体" w:cs="宋体"/>
          <w:bCs/>
          <w:sz w:val="28"/>
          <w:szCs w:val="28"/>
        </w:rPr>
        <w:t>地址：</w:t>
      </w:r>
    </w:p>
    <w:p>
      <w:pPr>
        <w:topLinePunct/>
        <w:spacing w:line="540" w:lineRule="exact"/>
        <w:rPr>
          <w:rFonts w:ascii="宋体" w:cs="宋体"/>
          <w:bCs/>
          <w:sz w:val="28"/>
          <w:szCs w:val="28"/>
          <w:u w:val="single"/>
        </w:rPr>
      </w:pPr>
      <w:r>
        <w:rPr>
          <w:rFonts w:hint="eastAsia" w:ascii="宋体" w:cs="宋体"/>
          <w:bCs/>
          <w:sz w:val="28"/>
          <w:szCs w:val="28"/>
        </w:rPr>
        <w:t>成立时间：</w:t>
      </w:r>
    </w:p>
    <w:p>
      <w:pPr>
        <w:topLinePunct/>
        <w:spacing w:line="540" w:lineRule="exact"/>
        <w:rPr>
          <w:rFonts w:ascii="宋体" w:cs="宋体"/>
          <w:bCs/>
          <w:sz w:val="28"/>
          <w:szCs w:val="28"/>
        </w:rPr>
      </w:pPr>
      <w:r>
        <w:rPr>
          <w:rFonts w:hint="eastAsia" w:ascii="宋体" w:cs="宋体"/>
          <w:bCs/>
          <w:sz w:val="28"/>
          <w:szCs w:val="28"/>
        </w:rPr>
        <w:t>经营期限：</w:t>
      </w:r>
    </w:p>
    <w:p>
      <w:pPr>
        <w:topLinePunct/>
        <w:spacing w:line="540" w:lineRule="exact"/>
        <w:rPr>
          <w:rFonts w:ascii="宋体" w:cs="宋体"/>
          <w:bCs/>
          <w:sz w:val="28"/>
          <w:szCs w:val="28"/>
        </w:rPr>
      </w:pPr>
      <w:r>
        <w:rPr>
          <w:rFonts w:hint="eastAsia" w:ascii="宋体" w:cs="宋体"/>
          <w:bCs/>
          <w:sz w:val="28"/>
          <w:szCs w:val="28"/>
        </w:rPr>
        <w:t>姓名：性别：</w:t>
      </w:r>
      <w:bookmarkStart w:id="102" w:name="_Toc27897"/>
      <w:bookmarkStart w:id="103" w:name="_Toc352691662"/>
      <w:bookmarkStart w:id="104" w:name="_Toc369531698"/>
      <w:r>
        <w:rPr>
          <w:rFonts w:hint="eastAsia" w:ascii="宋体" w:cs="宋体"/>
          <w:bCs/>
          <w:sz w:val="28"/>
          <w:szCs w:val="28"/>
        </w:rPr>
        <w:t>年</w:t>
      </w:r>
      <w:bookmarkEnd w:id="102"/>
      <w:bookmarkEnd w:id="103"/>
      <w:bookmarkEnd w:id="104"/>
      <w:r>
        <w:rPr>
          <w:rFonts w:hint="eastAsia" w:ascii="宋体" w:cs="宋体"/>
          <w:bCs/>
          <w:sz w:val="28"/>
          <w:szCs w:val="28"/>
        </w:rPr>
        <w:t>龄</w:t>
      </w:r>
      <w:bookmarkStart w:id="105" w:name="_Toc300835211"/>
      <w:bookmarkStart w:id="106" w:name="_Toc361508754"/>
      <w:bookmarkStart w:id="107" w:name="_Toc352691663"/>
      <w:bookmarkStart w:id="108" w:name="_Toc152045789"/>
      <w:bookmarkStart w:id="109" w:name="_Toc144974858"/>
      <w:bookmarkStart w:id="110" w:name="_Toc369531699"/>
      <w:bookmarkStart w:id="111" w:name="_Toc247527829"/>
      <w:bookmarkStart w:id="112" w:name="_Toc152042578"/>
      <w:bookmarkStart w:id="113" w:name="_Toc247514248"/>
      <w:bookmarkStart w:id="114" w:name="_Toc15573"/>
      <w:bookmarkStart w:id="115" w:name="_Toc384308377"/>
      <w:r>
        <w:rPr>
          <w:rFonts w:hint="eastAsia" w:ascii="宋体" w:cs="宋体"/>
          <w:bCs/>
          <w:sz w:val="28"/>
          <w:szCs w:val="28"/>
        </w:rPr>
        <w:t>：</w:t>
      </w:r>
      <w:bookmarkEnd w:id="105"/>
      <w:bookmarkEnd w:id="106"/>
      <w:bookmarkEnd w:id="107"/>
      <w:bookmarkEnd w:id="108"/>
      <w:bookmarkEnd w:id="109"/>
      <w:bookmarkEnd w:id="110"/>
      <w:bookmarkEnd w:id="111"/>
      <w:bookmarkEnd w:id="112"/>
      <w:bookmarkEnd w:id="113"/>
      <w:bookmarkEnd w:id="114"/>
      <w:bookmarkEnd w:id="115"/>
      <w:r>
        <w:rPr>
          <w:rFonts w:hint="eastAsia" w:ascii="宋体" w:cs="宋体"/>
          <w:bCs/>
          <w:sz w:val="28"/>
          <w:szCs w:val="28"/>
        </w:rPr>
        <w:t>职务：</w:t>
      </w:r>
    </w:p>
    <w:p>
      <w:pPr>
        <w:topLinePunct/>
        <w:spacing w:line="540" w:lineRule="exact"/>
        <w:rPr>
          <w:rFonts w:ascii="宋体" w:cs="宋体"/>
          <w:bCs/>
          <w:sz w:val="28"/>
          <w:szCs w:val="28"/>
        </w:rPr>
      </w:pPr>
      <w:r>
        <w:rPr>
          <w:rFonts w:hint="eastAsia" w:ascii="宋体" w:cs="宋体"/>
          <w:bCs/>
          <w:sz w:val="28"/>
          <w:szCs w:val="28"/>
        </w:rPr>
        <w:t>系（ 响应人名称）的法定代表人。</w:t>
      </w:r>
    </w:p>
    <w:p>
      <w:pPr>
        <w:topLinePunct/>
        <w:spacing w:line="540" w:lineRule="exact"/>
        <w:ind w:firstLine="560" w:firstLineChars="200"/>
        <w:rPr>
          <w:rFonts w:ascii="宋体" w:cs="宋体"/>
          <w:bCs/>
          <w:sz w:val="28"/>
          <w:szCs w:val="28"/>
        </w:rPr>
      </w:pPr>
      <w:r>
        <w:rPr>
          <w:rFonts w:hint="eastAsia" w:ascii="宋体" w:cs="宋体"/>
          <w:bCs/>
          <w:sz w:val="28"/>
          <w:szCs w:val="28"/>
        </w:rPr>
        <w:t>特此证明。</w:t>
      </w:r>
    </w:p>
    <w:p>
      <w:pPr>
        <w:topLinePunct/>
        <w:spacing w:line="540" w:lineRule="exact"/>
        <w:rPr>
          <w:rFonts w:ascii="宋体" w:cs="宋体"/>
          <w:bCs/>
          <w:sz w:val="28"/>
          <w:szCs w:val="28"/>
        </w:rPr>
      </w:pPr>
    </w:p>
    <w:p>
      <w:pPr>
        <w:topLinePunct/>
        <w:spacing w:line="540" w:lineRule="exact"/>
        <w:rPr>
          <w:rFonts w:ascii="宋体" w:cs="宋体"/>
          <w:bCs/>
          <w:sz w:val="28"/>
          <w:szCs w:val="28"/>
        </w:rPr>
      </w:pPr>
      <w:r>
        <w:rPr>
          <w:rFonts w:hint="eastAsia" w:ascii="宋体" w:cs="宋体"/>
          <w:bCs/>
          <w:sz w:val="28"/>
          <w:szCs w:val="28"/>
        </w:rPr>
        <w:t>附：法定代表人身份证复印件。</w:t>
      </w:r>
    </w:p>
    <w:p>
      <w:pPr>
        <w:topLinePunct/>
        <w:spacing w:line="540" w:lineRule="exact"/>
        <w:rPr>
          <w:rFonts w:ascii="宋体" w:cs="宋体"/>
          <w:bCs/>
          <w:sz w:val="28"/>
          <w:szCs w:val="28"/>
        </w:rPr>
      </w:pPr>
    </w:p>
    <w:p>
      <w:pPr>
        <w:topLinePunct/>
        <w:spacing w:line="540" w:lineRule="exact"/>
        <w:rPr>
          <w:rFonts w:ascii="宋体" w:cs="宋体"/>
          <w:bCs/>
          <w:sz w:val="28"/>
          <w:szCs w:val="28"/>
        </w:rPr>
      </w:pPr>
    </w:p>
    <w:p>
      <w:pPr>
        <w:pStyle w:val="24"/>
        <w:ind w:firstLine="528"/>
      </w:pPr>
    </w:p>
    <w:p>
      <w:pPr>
        <w:topLinePunct/>
        <w:spacing w:line="640" w:lineRule="exact"/>
        <w:jc w:val="center"/>
        <w:rPr>
          <w:rFonts w:ascii="宋体" w:cs="宋体"/>
          <w:bCs/>
          <w:sz w:val="28"/>
          <w:szCs w:val="28"/>
        </w:rPr>
      </w:pPr>
      <w:r>
        <w:rPr>
          <w:rFonts w:hint="eastAsia" w:ascii="宋体" w:cs="宋体"/>
          <w:bCs/>
          <w:sz w:val="28"/>
          <w:szCs w:val="28"/>
        </w:rPr>
        <w:t>响应人 ：（盖单位章）</w:t>
      </w:r>
    </w:p>
    <w:p>
      <w:pPr>
        <w:topLinePunct/>
        <w:spacing w:line="640" w:lineRule="exact"/>
        <w:jc w:val="center"/>
        <w:rPr>
          <w:rFonts w:ascii="宋体" w:cs="宋体"/>
          <w:bCs/>
          <w:sz w:val="28"/>
          <w:szCs w:val="28"/>
        </w:rPr>
      </w:pPr>
      <w:r>
        <w:rPr>
          <w:rFonts w:hint="eastAsia" w:ascii="宋体" w:cs="宋体"/>
          <w:bCs/>
          <w:sz w:val="28"/>
          <w:szCs w:val="28"/>
        </w:rPr>
        <w:t xml:space="preserve">               年   月   日</w:t>
      </w:r>
    </w:p>
    <w:p>
      <w:pPr>
        <w:spacing w:line="640" w:lineRule="exact"/>
        <w:rPr>
          <w:rFonts w:ascii="宋体" w:cs="宋体"/>
          <w:sz w:val="28"/>
          <w:szCs w:val="28"/>
        </w:rPr>
      </w:pPr>
    </w:p>
    <w:p>
      <w:pPr>
        <w:spacing w:line="360" w:lineRule="auto"/>
        <w:rPr>
          <w:rFonts w:ascii="宋体" w:cs="宋体"/>
          <w:sz w:val="28"/>
          <w:szCs w:val="28"/>
        </w:rPr>
      </w:pPr>
    </w:p>
    <w:p>
      <w:pPr>
        <w:spacing w:line="360" w:lineRule="auto"/>
        <w:rPr>
          <w:rFonts w:ascii="宋体" w:cs="宋体"/>
          <w:sz w:val="28"/>
          <w:szCs w:val="28"/>
        </w:rPr>
      </w:pPr>
    </w:p>
    <w:p>
      <w:pPr>
        <w:spacing w:line="360" w:lineRule="auto"/>
        <w:rPr>
          <w:rFonts w:ascii="宋体" w:cs="宋体"/>
          <w:sz w:val="28"/>
          <w:szCs w:val="28"/>
        </w:rPr>
      </w:pPr>
    </w:p>
    <w:p>
      <w:pPr>
        <w:spacing w:line="300" w:lineRule="auto"/>
        <w:rPr>
          <w:rFonts w:ascii="宋体" w:cs="宋体"/>
          <w:sz w:val="28"/>
          <w:szCs w:val="28"/>
        </w:rPr>
      </w:pPr>
    </w:p>
    <w:p>
      <w:pPr>
        <w:pStyle w:val="23"/>
        <w:ind w:firstLine="210"/>
      </w:pPr>
      <w:r>
        <w:br w:type="page"/>
      </w:r>
    </w:p>
    <w:p>
      <w:pPr>
        <w:pStyle w:val="5"/>
        <w:ind w:right="-307" w:rightChars="-146"/>
        <w:jc w:val="center"/>
        <w:rPr>
          <w:rFonts w:ascii="宋体"/>
          <w:sz w:val="36"/>
          <w:szCs w:val="36"/>
          <w:lang w:val="zh-CN"/>
        </w:rPr>
      </w:pPr>
      <w:bookmarkStart w:id="116" w:name="_Toc396236625"/>
      <w:bookmarkStart w:id="117" w:name="_Toc18230"/>
      <w:bookmarkStart w:id="118" w:name="_Toc27295"/>
      <w:bookmarkStart w:id="119" w:name="_Toc2962"/>
      <w:bookmarkStart w:id="120" w:name="_Toc13257"/>
      <w:bookmarkStart w:id="121" w:name="_Toc16317"/>
      <w:bookmarkStart w:id="122" w:name="_Toc7142"/>
      <w:bookmarkStart w:id="123" w:name="_Toc12389"/>
      <w:bookmarkStart w:id="124" w:name="_Toc396236151"/>
      <w:bookmarkStart w:id="125" w:name="_Toc360630804"/>
      <w:r>
        <w:rPr>
          <w:rFonts w:hint="eastAsia" w:ascii="宋体"/>
        </w:rPr>
        <w:t>三</w:t>
      </w:r>
      <w:r>
        <w:rPr>
          <w:rFonts w:hint="eastAsia" w:ascii="宋体"/>
          <w:lang w:val="zh-CN"/>
        </w:rPr>
        <w:t>、法定代表人授权委托书</w:t>
      </w:r>
      <w:bookmarkEnd w:id="116"/>
      <w:bookmarkEnd w:id="117"/>
      <w:bookmarkEnd w:id="118"/>
      <w:bookmarkEnd w:id="119"/>
      <w:bookmarkEnd w:id="120"/>
      <w:bookmarkEnd w:id="121"/>
      <w:bookmarkEnd w:id="122"/>
      <w:bookmarkEnd w:id="123"/>
      <w:bookmarkEnd w:id="124"/>
      <w:bookmarkEnd w:id="125"/>
    </w:p>
    <w:p>
      <w:pPr>
        <w:spacing w:line="360" w:lineRule="auto"/>
        <w:ind w:right="-307" w:rightChars="-146" w:firstLine="420" w:firstLineChars="200"/>
      </w:pPr>
    </w:p>
    <w:p>
      <w:pPr>
        <w:spacing w:line="360" w:lineRule="auto"/>
        <w:ind w:right="-307" w:rightChars="-146" w:firstLine="560" w:firstLineChars="200"/>
        <w:rPr>
          <w:sz w:val="28"/>
          <w:szCs w:val="28"/>
        </w:rPr>
      </w:pPr>
      <w:r>
        <w:rPr>
          <w:rFonts w:hint="eastAsia"/>
          <w:sz w:val="28"/>
          <w:szCs w:val="28"/>
        </w:rPr>
        <w:t>本人</w:t>
      </w:r>
      <w:r>
        <w:rPr>
          <w:rFonts w:hint="eastAsia"/>
          <w:sz w:val="28"/>
          <w:szCs w:val="28"/>
          <w:u w:val="single"/>
        </w:rPr>
        <w:t>（姓名）</w:t>
      </w:r>
      <w:r>
        <w:rPr>
          <w:rFonts w:hint="eastAsia"/>
          <w:sz w:val="28"/>
          <w:szCs w:val="28"/>
        </w:rPr>
        <w:t>系</w:t>
      </w:r>
      <w:r>
        <w:rPr>
          <w:rFonts w:hint="eastAsia"/>
          <w:sz w:val="28"/>
          <w:szCs w:val="28"/>
          <w:u w:val="single"/>
        </w:rPr>
        <w:t>（申请人名称）</w:t>
      </w:r>
      <w:r>
        <w:rPr>
          <w:rFonts w:hint="eastAsia"/>
          <w:sz w:val="28"/>
          <w:szCs w:val="28"/>
        </w:rPr>
        <w:t>的法定代表人，现委托</w:t>
      </w:r>
      <w:r>
        <w:rPr>
          <w:rFonts w:hint="eastAsia"/>
          <w:sz w:val="28"/>
          <w:szCs w:val="28"/>
          <w:u w:val="single"/>
        </w:rPr>
        <w:t>（姓名）</w:t>
      </w:r>
      <w:r>
        <w:rPr>
          <w:rFonts w:hint="eastAsia"/>
          <w:sz w:val="28"/>
          <w:szCs w:val="28"/>
        </w:rPr>
        <w:t>为我方代理人，代理人根据授权，以我方名义参加</w:t>
      </w:r>
      <w:r>
        <w:rPr>
          <w:rFonts w:hint="eastAsia"/>
          <w:sz w:val="28"/>
          <w:szCs w:val="28"/>
          <w:u w:val="single"/>
        </w:rPr>
        <w:t xml:space="preserve">（项目名称）  </w:t>
      </w:r>
      <w:r>
        <w:rPr>
          <w:rFonts w:hint="eastAsia"/>
          <w:sz w:val="28"/>
          <w:szCs w:val="28"/>
        </w:rPr>
        <w:t>的比选活动，以我方的名义签署、澄清、说明、补正、递交、响应文件和处理有关事宜，其法律后果由我方承担。</w:t>
      </w:r>
    </w:p>
    <w:p>
      <w:pPr>
        <w:spacing w:line="360" w:lineRule="auto"/>
        <w:ind w:right="-307" w:rightChars="-146" w:firstLine="560" w:firstLineChars="200"/>
        <w:rPr>
          <w:sz w:val="28"/>
          <w:szCs w:val="28"/>
        </w:rPr>
      </w:pPr>
      <w:r>
        <w:rPr>
          <w:rFonts w:hint="eastAsia"/>
          <w:sz w:val="28"/>
          <w:szCs w:val="28"/>
        </w:rPr>
        <w:t>委托期限：自授权书签订之日起至投标有效期截止之日止。</w:t>
      </w:r>
    </w:p>
    <w:p>
      <w:pPr>
        <w:spacing w:line="360" w:lineRule="auto"/>
        <w:ind w:right="-307" w:rightChars="-146" w:firstLine="560" w:firstLineChars="200"/>
        <w:rPr>
          <w:sz w:val="28"/>
          <w:szCs w:val="28"/>
        </w:rPr>
      </w:pPr>
      <w:r>
        <w:rPr>
          <w:rFonts w:hint="eastAsia"/>
          <w:sz w:val="28"/>
          <w:szCs w:val="28"/>
        </w:rPr>
        <w:t>委托代理人无转委托权。</w:t>
      </w:r>
    </w:p>
    <w:p>
      <w:pPr>
        <w:spacing w:line="360" w:lineRule="auto"/>
        <w:ind w:right="-307" w:rightChars="-146" w:firstLine="560" w:firstLineChars="200"/>
        <w:rPr>
          <w:sz w:val="28"/>
          <w:szCs w:val="28"/>
        </w:rPr>
      </w:pPr>
    </w:p>
    <w:p>
      <w:pPr>
        <w:spacing w:line="360" w:lineRule="auto"/>
        <w:ind w:right="-307" w:rightChars="-146" w:firstLine="560" w:firstLineChars="200"/>
        <w:rPr>
          <w:sz w:val="28"/>
          <w:szCs w:val="28"/>
        </w:rPr>
      </w:pPr>
      <w:r>
        <w:rPr>
          <w:rFonts w:hint="eastAsia"/>
          <w:sz w:val="28"/>
          <w:szCs w:val="28"/>
        </w:rPr>
        <w:t>附：法定代表人身份证复印件及委托代理人身份证复印件</w:t>
      </w:r>
    </w:p>
    <w:p>
      <w:pPr>
        <w:topLinePunct/>
        <w:spacing w:line="540" w:lineRule="exact"/>
        <w:ind w:right="-307" w:rightChars="-146" w:firstLine="610"/>
        <w:rPr>
          <w:sz w:val="28"/>
          <w:szCs w:val="28"/>
        </w:rPr>
      </w:pPr>
    </w:p>
    <w:p>
      <w:pPr>
        <w:topLinePunct/>
        <w:spacing w:line="540" w:lineRule="exact"/>
        <w:ind w:right="-307" w:rightChars="-146" w:firstLine="610"/>
        <w:rPr>
          <w:sz w:val="28"/>
          <w:szCs w:val="28"/>
        </w:rPr>
      </w:pPr>
    </w:p>
    <w:p>
      <w:pPr>
        <w:topLinePunct/>
        <w:spacing w:line="540" w:lineRule="exact"/>
        <w:ind w:right="-307" w:rightChars="-146" w:firstLine="3080" w:firstLineChars="1100"/>
        <w:rPr>
          <w:sz w:val="28"/>
          <w:szCs w:val="28"/>
        </w:rPr>
      </w:pPr>
      <w:r>
        <w:rPr>
          <w:rFonts w:hint="eastAsia"/>
          <w:sz w:val="28"/>
          <w:szCs w:val="28"/>
        </w:rPr>
        <w:t>申请人：（盖单位章）</w:t>
      </w:r>
    </w:p>
    <w:p>
      <w:pPr>
        <w:topLinePunct/>
        <w:spacing w:line="540" w:lineRule="exact"/>
        <w:ind w:right="-307" w:rightChars="-146" w:firstLine="3080" w:firstLineChars="1100"/>
        <w:rPr>
          <w:sz w:val="28"/>
          <w:szCs w:val="28"/>
        </w:rPr>
      </w:pPr>
      <w:r>
        <w:rPr>
          <w:rFonts w:hint="eastAsia"/>
          <w:sz w:val="28"/>
          <w:szCs w:val="28"/>
        </w:rPr>
        <w:t>法定代表人：（签字或印鉴）</w:t>
      </w:r>
    </w:p>
    <w:p>
      <w:pPr>
        <w:topLinePunct/>
        <w:spacing w:line="540" w:lineRule="exact"/>
        <w:ind w:right="-307" w:rightChars="-146" w:firstLine="3080" w:firstLineChars="1100"/>
        <w:rPr>
          <w:sz w:val="28"/>
          <w:szCs w:val="28"/>
          <w:u w:val="single"/>
        </w:rPr>
      </w:pPr>
      <w:r>
        <w:rPr>
          <w:rFonts w:hint="eastAsia"/>
          <w:sz w:val="28"/>
          <w:szCs w:val="28"/>
        </w:rPr>
        <w:t>身份证号码：</w:t>
      </w:r>
    </w:p>
    <w:p>
      <w:pPr>
        <w:topLinePunct/>
        <w:spacing w:line="540" w:lineRule="exact"/>
        <w:ind w:right="-307" w:rightChars="-146" w:firstLine="3080" w:firstLineChars="1100"/>
        <w:rPr>
          <w:sz w:val="28"/>
          <w:szCs w:val="28"/>
        </w:rPr>
      </w:pPr>
      <w:r>
        <w:rPr>
          <w:rFonts w:hint="eastAsia"/>
          <w:sz w:val="28"/>
          <w:szCs w:val="28"/>
        </w:rPr>
        <w:t>委托代理人：（签字）</w:t>
      </w:r>
    </w:p>
    <w:p>
      <w:pPr>
        <w:topLinePunct/>
        <w:spacing w:line="540" w:lineRule="exact"/>
        <w:ind w:right="-307" w:rightChars="-146" w:firstLine="3080" w:firstLineChars="1100"/>
        <w:rPr>
          <w:sz w:val="28"/>
          <w:szCs w:val="28"/>
        </w:rPr>
      </w:pPr>
      <w:r>
        <w:rPr>
          <w:rFonts w:hint="eastAsia"/>
          <w:sz w:val="28"/>
          <w:szCs w:val="28"/>
        </w:rPr>
        <w:t>身份证号码：</w:t>
      </w:r>
    </w:p>
    <w:p>
      <w:pPr>
        <w:topLinePunct/>
        <w:spacing w:line="540" w:lineRule="exact"/>
        <w:ind w:left="418" w:leftChars="199" w:right="-307" w:rightChars="-146" w:firstLine="4200" w:firstLineChars="1500"/>
        <w:jc w:val="right"/>
        <w:rPr>
          <w:sz w:val="28"/>
          <w:szCs w:val="28"/>
        </w:rPr>
      </w:pPr>
    </w:p>
    <w:p>
      <w:pPr>
        <w:topLinePunct/>
        <w:spacing w:line="540" w:lineRule="exact"/>
        <w:ind w:left="418" w:leftChars="199" w:right="-307" w:rightChars="-146" w:firstLine="4200" w:firstLineChars="1500"/>
        <w:jc w:val="right"/>
        <w:rPr>
          <w:sz w:val="28"/>
          <w:szCs w:val="28"/>
        </w:rPr>
      </w:pPr>
      <w:r>
        <w:rPr>
          <w:rFonts w:hint="eastAsia"/>
          <w:sz w:val="28"/>
          <w:szCs w:val="28"/>
        </w:rPr>
        <w:t>年    月    日</w:t>
      </w:r>
    </w:p>
    <w:p>
      <w:pPr>
        <w:spacing w:line="360" w:lineRule="auto"/>
        <w:ind w:right="-307" w:rightChars="-146"/>
        <w:rPr>
          <w:sz w:val="28"/>
          <w:szCs w:val="28"/>
          <w:u w:val="single"/>
        </w:rPr>
      </w:pPr>
    </w:p>
    <w:p>
      <w:pPr>
        <w:spacing w:line="300" w:lineRule="auto"/>
        <w:ind w:right="-307" w:rightChars="-146"/>
        <w:rPr>
          <w:sz w:val="28"/>
          <w:szCs w:val="28"/>
        </w:rPr>
      </w:pPr>
      <w:bookmarkStart w:id="126" w:name="_Toc360630805"/>
      <w:bookmarkStart w:id="127" w:name="_Toc179632814"/>
      <w:bookmarkStart w:id="128" w:name="_Toc144974862"/>
      <w:bookmarkStart w:id="129" w:name="_Toc152042583"/>
      <w:bookmarkStart w:id="130" w:name="_Toc152045794"/>
      <w:r>
        <w:rPr>
          <w:rFonts w:hint="eastAsia"/>
          <w:sz w:val="28"/>
          <w:szCs w:val="28"/>
        </w:rPr>
        <w:t>注：①本授权书仅适用于法定代表人不亲自参加而委托代理人参加的比选活动申请。</w:t>
      </w:r>
    </w:p>
    <w:p>
      <w:pPr>
        <w:spacing w:line="300" w:lineRule="auto"/>
        <w:ind w:firstLine="560" w:firstLineChars="200"/>
      </w:pPr>
      <w:r>
        <w:rPr>
          <w:rFonts w:hint="eastAsia"/>
          <w:sz w:val="28"/>
          <w:szCs w:val="28"/>
        </w:rPr>
        <w:t>②委托代理人限为一人。</w:t>
      </w:r>
      <w:r>
        <w:br w:type="page"/>
      </w:r>
    </w:p>
    <w:bookmarkEnd w:id="126"/>
    <w:bookmarkEnd w:id="127"/>
    <w:bookmarkEnd w:id="128"/>
    <w:bookmarkEnd w:id="129"/>
    <w:bookmarkEnd w:id="130"/>
    <w:p>
      <w:pPr>
        <w:pStyle w:val="5"/>
        <w:spacing w:before="0" w:after="0" w:line="360" w:lineRule="auto"/>
        <w:jc w:val="center"/>
        <w:rPr>
          <w:rFonts w:ascii="宋体"/>
          <w:lang w:val="zh-CN"/>
        </w:rPr>
      </w:pPr>
      <w:bookmarkStart w:id="131" w:name="_Toc13677"/>
      <w:bookmarkStart w:id="132" w:name="_Toc4310"/>
      <w:bookmarkStart w:id="133" w:name="_Toc4379"/>
      <w:bookmarkStart w:id="134" w:name="_Toc396236626"/>
      <w:bookmarkStart w:id="135" w:name="_Toc25839"/>
      <w:bookmarkStart w:id="136" w:name="_Toc25960"/>
      <w:bookmarkStart w:id="137" w:name="_Toc360630806"/>
      <w:bookmarkStart w:id="138" w:name="_Toc11807"/>
      <w:bookmarkStart w:id="139" w:name="_Toc396236152"/>
      <w:bookmarkStart w:id="140" w:name="_Toc24540"/>
      <w:r>
        <w:rPr>
          <w:rFonts w:hint="eastAsia" w:ascii="宋体"/>
        </w:rPr>
        <w:t>四</w:t>
      </w:r>
      <w:r>
        <w:rPr>
          <w:rFonts w:hint="eastAsia" w:ascii="宋体"/>
          <w:lang w:val="zh-CN"/>
        </w:rPr>
        <w:t>、组织机构基本情况</w:t>
      </w:r>
      <w:bookmarkEnd w:id="131"/>
      <w:bookmarkEnd w:id="132"/>
      <w:bookmarkEnd w:id="133"/>
      <w:bookmarkEnd w:id="134"/>
      <w:bookmarkEnd w:id="135"/>
      <w:bookmarkEnd w:id="136"/>
      <w:bookmarkEnd w:id="137"/>
      <w:bookmarkEnd w:id="138"/>
      <w:bookmarkEnd w:id="139"/>
      <w:bookmarkEnd w:id="140"/>
    </w:p>
    <w:tbl>
      <w:tblPr>
        <w:tblStyle w:val="25"/>
        <w:tblW w:w="8932" w:type="dxa"/>
        <w:jc w:val="center"/>
        <w:tblLayout w:type="fixed"/>
        <w:tblCellMar>
          <w:top w:w="0" w:type="dxa"/>
          <w:left w:w="0" w:type="dxa"/>
          <w:bottom w:w="0" w:type="dxa"/>
          <w:right w:w="0" w:type="dxa"/>
        </w:tblCellMar>
      </w:tblPr>
      <w:tblGrid>
        <w:gridCol w:w="2175"/>
        <w:gridCol w:w="944"/>
        <w:gridCol w:w="2410"/>
        <w:gridCol w:w="1135"/>
        <w:gridCol w:w="2268"/>
      </w:tblGrid>
      <w:tr>
        <w:tblPrEx>
          <w:tblCellMar>
            <w:top w:w="0" w:type="dxa"/>
            <w:left w:w="0" w:type="dxa"/>
            <w:bottom w:w="0" w:type="dxa"/>
            <w:right w:w="0" w:type="dxa"/>
          </w:tblCellMar>
        </w:tblPrEx>
        <w:trPr>
          <w:trHeight w:val="451" w:hRule="exact"/>
          <w:jc w:val="center"/>
        </w:trPr>
        <w:tc>
          <w:tcPr>
            <w:tcW w:w="217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555"/>
              <w:rPr>
                <w:rFonts w:ascii="宋体"/>
              </w:rPr>
            </w:pPr>
            <w:r>
              <w:rPr>
                <w:rFonts w:hint="eastAsia" w:ascii="宋体" w:cs="Microsoft JhengHei"/>
                <w:spacing w:val="-3"/>
                <w:szCs w:val="21"/>
              </w:rPr>
              <w:t>响应人</w:t>
            </w:r>
            <w:r>
              <w:rPr>
                <w:rFonts w:hint="eastAsia" w:ascii="宋体" w:cs="Microsoft JhengHei"/>
                <w:szCs w:val="21"/>
              </w:rPr>
              <w:t>名称</w:t>
            </w:r>
          </w:p>
        </w:tc>
        <w:tc>
          <w:tcPr>
            <w:tcW w:w="6757" w:type="dxa"/>
            <w:gridSpan w:val="4"/>
            <w:tcBorders>
              <w:top w:val="single" w:color="000000" w:sz="4" w:space="0"/>
              <w:left w:val="single" w:color="000000" w:sz="4" w:space="0"/>
              <w:bottom w:val="single" w:color="000000" w:sz="4" w:space="0"/>
              <w:right w:val="single" w:color="000000" w:sz="4" w:space="0"/>
            </w:tcBorders>
          </w:tcPr>
          <w:p>
            <w:pPr>
              <w:rPr>
                <w:rFonts w:ascii="宋体"/>
              </w:rPr>
            </w:pPr>
          </w:p>
        </w:tc>
      </w:tr>
      <w:tr>
        <w:tblPrEx>
          <w:tblCellMar>
            <w:top w:w="0" w:type="dxa"/>
            <w:left w:w="0" w:type="dxa"/>
            <w:bottom w:w="0" w:type="dxa"/>
            <w:right w:w="0" w:type="dxa"/>
          </w:tblCellMar>
        </w:tblPrEx>
        <w:trPr>
          <w:trHeight w:val="449" w:hRule="exact"/>
          <w:jc w:val="center"/>
        </w:trPr>
        <w:tc>
          <w:tcPr>
            <w:tcW w:w="217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661"/>
              <w:rPr>
                <w:rFonts w:ascii="宋体"/>
              </w:rPr>
            </w:pPr>
            <w:r>
              <w:rPr>
                <w:rFonts w:hint="eastAsia" w:ascii="宋体" w:cs="Microsoft JhengHei"/>
                <w:szCs w:val="21"/>
              </w:rPr>
              <w:t>注册</w:t>
            </w:r>
            <w:r>
              <w:rPr>
                <w:rFonts w:hint="eastAsia" w:ascii="宋体" w:cs="Microsoft JhengHei"/>
                <w:spacing w:val="-3"/>
                <w:szCs w:val="21"/>
              </w:rPr>
              <w:t>资金</w:t>
            </w:r>
          </w:p>
        </w:tc>
        <w:tc>
          <w:tcPr>
            <w:tcW w:w="3354" w:type="dxa"/>
            <w:gridSpan w:val="2"/>
            <w:tcBorders>
              <w:top w:val="single" w:color="000000" w:sz="4" w:space="0"/>
              <w:left w:val="single" w:color="000000" w:sz="4" w:space="0"/>
              <w:bottom w:val="single" w:color="000000" w:sz="4" w:space="0"/>
              <w:right w:val="single" w:color="000000" w:sz="4" w:space="0"/>
            </w:tcBorders>
          </w:tcPr>
          <w:p>
            <w:pPr>
              <w:rPr>
                <w:rFonts w:ascii="宋体"/>
              </w:rPr>
            </w:pPr>
          </w:p>
        </w:tc>
        <w:tc>
          <w:tcPr>
            <w:tcW w:w="113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140"/>
              <w:rPr>
                <w:rFonts w:ascii="宋体"/>
              </w:rPr>
            </w:pPr>
            <w:r>
              <w:rPr>
                <w:rFonts w:hint="eastAsia" w:ascii="宋体" w:cs="Microsoft JhengHei"/>
                <w:szCs w:val="21"/>
              </w:rPr>
              <w:t>成立</w:t>
            </w:r>
            <w:r>
              <w:rPr>
                <w:rFonts w:hint="eastAsia" w:ascii="宋体" w:cs="Microsoft JhengHei"/>
                <w:spacing w:val="-3"/>
                <w:szCs w:val="21"/>
              </w:rPr>
              <w:t>时</w:t>
            </w:r>
            <w:r>
              <w:rPr>
                <w:rFonts w:hint="eastAsia" w:ascii="宋体" w:cs="Microsoft JhengHei"/>
                <w:szCs w:val="21"/>
              </w:rPr>
              <w:t>间</w:t>
            </w:r>
          </w:p>
        </w:tc>
        <w:tc>
          <w:tcPr>
            <w:tcW w:w="2268" w:type="dxa"/>
            <w:tcBorders>
              <w:top w:val="single" w:color="000000" w:sz="4" w:space="0"/>
              <w:left w:val="single" w:color="000000" w:sz="4" w:space="0"/>
              <w:bottom w:val="single" w:color="000000" w:sz="4" w:space="0"/>
              <w:right w:val="single" w:color="000000" w:sz="4" w:space="0"/>
            </w:tcBorders>
          </w:tcPr>
          <w:p>
            <w:pPr>
              <w:rPr>
                <w:rFonts w:ascii="宋体"/>
              </w:rPr>
            </w:pPr>
          </w:p>
        </w:tc>
      </w:tr>
      <w:tr>
        <w:tblPrEx>
          <w:tblCellMar>
            <w:top w:w="0" w:type="dxa"/>
            <w:left w:w="0" w:type="dxa"/>
            <w:bottom w:w="0" w:type="dxa"/>
            <w:right w:w="0" w:type="dxa"/>
          </w:tblCellMar>
        </w:tblPrEx>
        <w:trPr>
          <w:trHeight w:val="451" w:hRule="exact"/>
          <w:jc w:val="center"/>
        </w:trPr>
        <w:tc>
          <w:tcPr>
            <w:tcW w:w="217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661"/>
              <w:rPr>
                <w:rFonts w:ascii="宋体"/>
              </w:rPr>
            </w:pPr>
            <w:r>
              <w:rPr>
                <w:rFonts w:hint="eastAsia" w:ascii="宋体" w:cs="Microsoft JhengHei"/>
                <w:szCs w:val="21"/>
              </w:rPr>
              <w:t>注册</w:t>
            </w:r>
            <w:r>
              <w:rPr>
                <w:rFonts w:hint="eastAsia" w:ascii="宋体" w:cs="Microsoft JhengHei"/>
                <w:spacing w:val="-3"/>
                <w:szCs w:val="21"/>
              </w:rPr>
              <w:t>地</w:t>
            </w:r>
            <w:r>
              <w:rPr>
                <w:rFonts w:hint="eastAsia" w:ascii="宋体" w:cs="Microsoft JhengHei"/>
                <w:szCs w:val="21"/>
              </w:rPr>
              <w:t>址</w:t>
            </w:r>
          </w:p>
        </w:tc>
        <w:tc>
          <w:tcPr>
            <w:tcW w:w="6757" w:type="dxa"/>
            <w:gridSpan w:val="4"/>
            <w:tcBorders>
              <w:top w:val="single" w:color="000000" w:sz="4" w:space="0"/>
              <w:left w:val="single" w:color="000000" w:sz="4" w:space="0"/>
              <w:bottom w:val="single" w:color="000000" w:sz="4" w:space="0"/>
              <w:right w:val="single" w:color="000000" w:sz="4" w:space="0"/>
            </w:tcBorders>
          </w:tcPr>
          <w:p>
            <w:pPr>
              <w:rPr>
                <w:rFonts w:ascii="宋体"/>
              </w:rPr>
            </w:pPr>
          </w:p>
        </w:tc>
      </w:tr>
      <w:tr>
        <w:tblPrEx>
          <w:tblCellMar>
            <w:top w:w="0" w:type="dxa"/>
            <w:left w:w="0" w:type="dxa"/>
            <w:bottom w:w="0" w:type="dxa"/>
            <w:right w:w="0" w:type="dxa"/>
          </w:tblCellMar>
        </w:tblPrEx>
        <w:trPr>
          <w:trHeight w:val="449" w:hRule="exact"/>
          <w:jc w:val="center"/>
        </w:trPr>
        <w:tc>
          <w:tcPr>
            <w:tcW w:w="217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661"/>
              <w:rPr>
                <w:rFonts w:ascii="宋体"/>
              </w:rPr>
            </w:pPr>
            <w:r>
              <w:rPr>
                <w:rFonts w:hint="eastAsia" w:ascii="宋体" w:cs="Microsoft JhengHei"/>
                <w:szCs w:val="21"/>
              </w:rPr>
              <w:t>邮政</w:t>
            </w:r>
            <w:r>
              <w:rPr>
                <w:rFonts w:hint="eastAsia" w:ascii="宋体" w:cs="Microsoft JhengHei"/>
                <w:spacing w:val="-3"/>
                <w:szCs w:val="21"/>
              </w:rPr>
              <w:t>编</w:t>
            </w:r>
            <w:r>
              <w:rPr>
                <w:rFonts w:hint="eastAsia" w:ascii="宋体" w:cs="Microsoft JhengHei"/>
                <w:szCs w:val="21"/>
              </w:rPr>
              <w:t>码</w:t>
            </w:r>
          </w:p>
        </w:tc>
        <w:tc>
          <w:tcPr>
            <w:tcW w:w="3354" w:type="dxa"/>
            <w:gridSpan w:val="2"/>
            <w:tcBorders>
              <w:top w:val="single" w:color="000000" w:sz="4" w:space="0"/>
              <w:left w:val="single" w:color="000000" w:sz="4" w:space="0"/>
              <w:bottom w:val="single" w:color="000000" w:sz="4" w:space="0"/>
              <w:right w:val="single" w:color="000000" w:sz="4" w:space="0"/>
            </w:tcBorders>
          </w:tcPr>
          <w:p>
            <w:pPr>
              <w:rPr>
                <w:rFonts w:ascii="宋体"/>
              </w:rPr>
            </w:pPr>
          </w:p>
        </w:tc>
        <w:tc>
          <w:tcPr>
            <w:tcW w:w="113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140"/>
              <w:rPr>
                <w:rFonts w:ascii="宋体"/>
              </w:rPr>
            </w:pPr>
            <w:r>
              <w:rPr>
                <w:rFonts w:hint="eastAsia" w:ascii="宋体" w:cs="Microsoft JhengHei"/>
                <w:szCs w:val="21"/>
              </w:rPr>
              <w:t>员工</w:t>
            </w:r>
            <w:r>
              <w:rPr>
                <w:rFonts w:hint="eastAsia" w:ascii="宋体" w:cs="Microsoft JhengHei"/>
                <w:spacing w:val="-3"/>
                <w:szCs w:val="21"/>
              </w:rPr>
              <w:t>总</w:t>
            </w:r>
            <w:r>
              <w:rPr>
                <w:rFonts w:hint="eastAsia" w:ascii="宋体" w:cs="Microsoft JhengHei"/>
                <w:szCs w:val="21"/>
              </w:rPr>
              <w:t>数</w:t>
            </w:r>
          </w:p>
        </w:tc>
        <w:tc>
          <w:tcPr>
            <w:tcW w:w="2268" w:type="dxa"/>
            <w:tcBorders>
              <w:top w:val="single" w:color="000000" w:sz="4" w:space="0"/>
              <w:left w:val="single" w:color="000000" w:sz="4" w:space="0"/>
              <w:bottom w:val="single" w:color="000000" w:sz="4" w:space="0"/>
              <w:right w:val="single" w:color="000000" w:sz="4" w:space="0"/>
            </w:tcBorders>
          </w:tcPr>
          <w:p>
            <w:pPr>
              <w:rPr>
                <w:rFonts w:ascii="宋体"/>
              </w:rPr>
            </w:pPr>
          </w:p>
        </w:tc>
      </w:tr>
      <w:tr>
        <w:tblPrEx>
          <w:tblCellMar>
            <w:top w:w="0" w:type="dxa"/>
            <w:left w:w="0" w:type="dxa"/>
            <w:bottom w:w="0" w:type="dxa"/>
            <w:right w:w="0" w:type="dxa"/>
          </w:tblCellMar>
        </w:tblPrEx>
        <w:trPr>
          <w:trHeight w:val="451" w:hRule="exact"/>
          <w:jc w:val="center"/>
        </w:trPr>
        <w:tc>
          <w:tcPr>
            <w:tcW w:w="2175" w:type="dxa"/>
            <w:vMerge w:val="restart"/>
            <w:tcBorders>
              <w:top w:val="single" w:color="000000" w:sz="4" w:space="0"/>
              <w:left w:val="single" w:color="000000" w:sz="4" w:space="0"/>
              <w:bottom w:val="single" w:color="000000" w:sz="4" w:space="0"/>
              <w:right w:val="single" w:color="000000" w:sz="4" w:space="0"/>
            </w:tcBorders>
          </w:tcPr>
          <w:p>
            <w:pPr>
              <w:pStyle w:val="40"/>
              <w:kinsoku w:val="0"/>
              <w:overflowPunct w:val="0"/>
              <w:spacing w:before="10" w:line="260" w:lineRule="exact"/>
              <w:rPr>
                <w:rFonts w:ascii="宋体"/>
                <w:sz w:val="26"/>
                <w:szCs w:val="26"/>
              </w:rPr>
            </w:pPr>
          </w:p>
          <w:p>
            <w:pPr>
              <w:pStyle w:val="40"/>
              <w:kinsoku w:val="0"/>
              <w:overflowPunct w:val="0"/>
              <w:ind w:left="661"/>
              <w:rPr>
                <w:rFonts w:ascii="宋体"/>
              </w:rPr>
            </w:pPr>
            <w:r>
              <w:rPr>
                <w:rFonts w:hint="eastAsia" w:ascii="宋体" w:cs="Microsoft JhengHei"/>
                <w:szCs w:val="21"/>
              </w:rPr>
              <w:t>联系</w:t>
            </w:r>
            <w:r>
              <w:rPr>
                <w:rFonts w:hint="eastAsia" w:ascii="宋体" w:cs="Microsoft JhengHei"/>
                <w:spacing w:val="-3"/>
                <w:szCs w:val="21"/>
              </w:rPr>
              <w:t>方</w:t>
            </w:r>
            <w:r>
              <w:rPr>
                <w:rFonts w:hint="eastAsia" w:ascii="宋体" w:cs="Microsoft JhengHei"/>
                <w:szCs w:val="21"/>
              </w:rPr>
              <w:t>式</w:t>
            </w:r>
          </w:p>
        </w:tc>
        <w:tc>
          <w:tcPr>
            <w:tcW w:w="944"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147"/>
              <w:rPr>
                <w:rFonts w:ascii="宋体"/>
              </w:rPr>
            </w:pPr>
            <w:r>
              <w:rPr>
                <w:rFonts w:hint="eastAsia" w:ascii="宋体" w:cs="Microsoft JhengHei"/>
                <w:szCs w:val="21"/>
              </w:rPr>
              <w:t>联系人</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rPr>
            </w:pPr>
          </w:p>
        </w:tc>
        <w:tc>
          <w:tcPr>
            <w:tcW w:w="113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351"/>
              <w:rPr>
                <w:rFonts w:ascii="宋体"/>
              </w:rPr>
            </w:pPr>
            <w:r>
              <w:rPr>
                <w:rFonts w:hint="eastAsia" w:ascii="宋体" w:cs="Microsoft JhengHei"/>
                <w:szCs w:val="21"/>
              </w:rPr>
              <w:t>电话</w:t>
            </w:r>
          </w:p>
        </w:tc>
        <w:tc>
          <w:tcPr>
            <w:tcW w:w="2268" w:type="dxa"/>
            <w:tcBorders>
              <w:top w:val="single" w:color="000000" w:sz="4" w:space="0"/>
              <w:left w:val="single" w:color="000000" w:sz="4" w:space="0"/>
              <w:bottom w:val="single" w:color="000000" w:sz="4" w:space="0"/>
              <w:right w:val="single" w:color="000000" w:sz="4" w:space="0"/>
            </w:tcBorders>
          </w:tcPr>
          <w:p>
            <w:pPr>
              <w:rPr>
                <w:rFonts w:ascii="宋体"/>
              </w:rPr>
            </w:pPr>
          </w:p>
        </w:tc>
      </w:tr>
      <w:tr>
        <w:tblPrEx>
          <w:tblCellMar>
            <w:top w:w="0" w:type="dxa"/>
            <w:left w:w="0" w:type="dxa"/>
            <w:bottom w:w="0" w:type="dxa"/>
            <w:right w:w="0" w:type="dxa"/>
          </w:tblCellMar>
        </w:tblPrEx>
        <w:trPr>
          <w:trHeight w:val="449" w:hRule="exact"/>
          <w:jc w:val="center"/>
        </w:trPr>
        <w:tc>
          <w:tcPr>
            <w:tcW w:w="2175" w:type="dxa"/>
            <w:vMerge w:val="continue"/>
            <w:tcBorders>
              <w:top w:val="single" w:color="000000" w:sz="4" w:space="0"/>
              <w:left w:val="single" w:color="000000" w:sz="4" w:space="0"/>
              <w:bottom w:val="single" w:color="000000" w:sz="4" w:space="0"/>
              <w:right w:val="single" w:color="000000" w:sz="4" w:space="0"/>
            </w:tcBorders>
          </w:tcPr>
          <w:p/>
        </w:tc>
        <w:tc>
          <w:tcPr>
            <w:tcW w:w="944"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253"/>
              <w:rPr>
                <w:rFonts w:ascii="宋体"/>
              </w:rPr>
            </w:pPr>
            <w:r>
              <w:rPr>
                <w:rFonts w:hint="eastAsia" w:ascii="宋体" w:cs="Microsoft JhengHei"/>
                <w:szCs w:val="21"/>
              </w:rPr>
              <w:t>网址</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rPr>
            </w:pPr>
          </w:p>
        </w:tc>
        <w:tc>
          <w:tcPr>
            <w:tcW w:w="113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351"/>
              <w:rPr>
                <w:rFonts w:ascii="宋体"/>
              </w:rPr>
            </w:pPr>
            <w:r>
              <w:rPr>
                <w:rFonts w:hint="eastAsia" w:ascii="宋体" w:cs="Microsoft JhengHei"/>
                <w:szCs w:val="21"/>
              </w:rPr>
              <w:t>传真</w:t>
            </w:r>
          </w:p>
        </w:tc>
        <w:tc>
          <w:tcPr>
            <w:tcW w:w="2268" w:type="dxa"/>
            <w:tcBorders>
              <w:top w:val="single" w:color="000000" w:sz="4" w:space="0"/>
              <w:left w:val="single" w:color="000000" w:sz="4" w:space="0"/>
              <w:bottom w:val="single" w:color="000000" w:sz="4" w:space="0"/>
              <w:right w:val="single" w:color="000000" w:sz="4" w:space="0"/>
            </w:tcBorders>
          </w:tcPr>
          <w:p>
            <w:pPr>
              <w:rPr>
                <w:rFonts w:ascii="宋体"/>
              </w:rPr>
            </w:pPr>
          </w:p>
        </w:tc>
      </w:tr>
      <w:tr>
        <w:tblPrEx>
          <w:tblCellMar>
            <w:top w:w="0" w:type="dxa"/>
            <w:left w:w="0" w:type="dxa"/>
            <w:bottom w:w="0" w:type="dxa"/>
            <w:right w:w="0" w:type="dxa"/>
          </w:tblCellMar>
        </w:tblPrEx>
        <w:trPr>
          <w:trHeight w:val="890" w:hRule="exact"/>
          <w:jc w:val="center"/>
        </w:trPr>
        <w:tc>
          <w:tcPr>
            <w:tcW w:w="217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2"/>
              <w:jc w:val="center"/>
              <w:rPr>
                <w:rFonts w:ascii="宋体" w:cs="Microsoft JhengHei"/>
                <w:szCs w:val="21"/>
              </w:rPr>
            </w:pPr>
            <w:r>
              <w:rPr>
                <w:rFonts w:hint="eastAsia" w:ascii="宋体" w:cs="Microsoft JhengHei"/>
                <w:szCs w:val="21"/>
              </w:rPr>
              <w:t>法定</w:t>
            </w:r>
            <w:r>
              <w:rPr>
                <w:rFonts w:hint="eastAsia" w:ascii="宋体" w:cs="Microsoft JhengHei"/>
                <w:spacing w:val="-3"/>
                <w:szCs w:val="21"/>
              </w:rPr>
              <w:t>代</w:t>
            </w:r>
            <w:r>
              <w:rPr>
                <w:rFonts w:hint="eastAsia" w:ascii="宋体" w:cs="Microsoft JhengHei"/>
                <w:szCs w:val="21"/>
              </w:rPr>
              <w:t>表人</w:t>
            </w:r>
          </w:p>
          <w:p>
            <w:pPr>
              <w:pStyle w:val="40"/>
              <w:kinsoku w:val="0"/>
              <w:overflowPunct w:val="0"/>
              <w:spacing w:before="80"/>
              <w:ind w:right="105"/>
              <w:jc w:val="center"/>
              <w:rPr>
                <w:rFonts w:ascii="宋体"/>
              </w:rPr>
            </w:pPr>
            <w:r>
              <w:rPr>
                <w:rFonts w:hint="eastAsia" w:ascii="宋体" w:cs="Microsoft JhengHei"/>
                <w:szCs w:val="21"/>
              </w:rPr>
              <w:t>（单</w:t>
            </w:r>
            <w:r>
              <w:rPr>
                <w:rFonts w:hint="eastAsia" w:ascii="宋体" w:cs="Microsoft JhengHei"/>
                <w:spacing w:val="-3"/>
                <w:szCs w:val="21"/>
              </w:rPr>
              <w:t>位</w:t>
            </w:r>
            <w:r>
              <w:rPr>
                <w:rFonts w:hint="eastAsia" w:ascii="宋体" w:cs="Microsoft JhengHei"/>
                <w:szCs w:val="21"/>
              </w:rPr>
              <w:t>负</w:t>
            </w:r>
            <w:r>
              <w:rPr>
                <w:rFonts w:hint="eastAsia" w:ascii="宋体" w:cs="Microsoft JhengHei"/>
                <w:spacing w:val="-3"/>
                <w:szCs w:val="21"/>
              </w:rPr>
              <w:t>责</w:t>
            </w:r>
            <w:r>
              <w:rPr>
                <w:rFonts w:hint="eastAsia" w:ascii="宋体" w:cs="Microsoft JhengHei"/>
                <w:szCs w:val="21"/>
              </w:rPr>
              <w:t>人）</w:t>
            </w:r>
          </w:p>
        </w:tc>
        <w:tc>
          <w:tcPr>
            <w:tcW w:w="944"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5" w:line="260" w:lineRule="exact"/>
              <w:rPr>
                <w:rFonts w:ascii="宋体"/>
                <w:sz w:val="26"/>
                <w:szCs w:val="26"/>
              </w:rPr>
            </w:pPr>
          </w:p>
          <w:p>
            <w:pPr>
              <w:pStyle w:val="40"/>
              <w:kinsoku w:val="0"/>
              <w:overflowPunct w:val="0"/>
              <w:ind w:left="253"/>
              <w:rPr>
                <w:rFonts w:ascii="宋体"/>
              </w:rPr>
            </w:pPr>
            <w:r>
              <w:rPr>
                <w:rFonts w:hint="eastAsia" w:ascii="宋体" w:cs="Microsoft JhengHei"/>
                <w:szCs w:val="21"/>
              </w:rPr>
              <w:t>姓名</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rPr>
            </w:pPr>
          </w:p>
        </w:tc>
        <w:tc>
          <w:tcPr>
            <w:tcW w:w="113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5" w:line="260" w:lineRule="exact"/>
              <w:rPr>
                <w:rFonts w:ascii="宋体"/>
                <w:sz w:val="26"/>
                <w:szCs w:val="26"/>
              </w:rPr>
            </w:pPr>
          </w:p>
          <w:p>
            <w:pPr>
              <w:pStyle w:val="40"/>
              <w:kinsoku w:val="0"/>
              <w:overflowPunct w:val="0"/>
              <w:ind w:left="351"/>
              <w:rPr>
                <w:rFonts w:ascii="宋体"/>
              </w:rPr>
            </w:pPr>
            <w:r>
              <w:rPr>
                <w:rFonts w:hint="eastAsia" w:ascii="宋体" w:cs="Microsoft JhengHei"/>
                <w:szCs w:val="21"/>
              </w:rPr>
              <w:t>电话</w:t>
            </w:r>
          </w:p>
        </w:tc>
        <w:tc>
          <w:tcPr>
            <w:tcW w:w="2268" w:type="dxa"/>
            <w:tcBorders>
              <w:top w:val="single" w:color="000000" w:sz="4" w:space="0"/>
              <w:left w:val="single" w:color="000000" w:sz="4" w:space="0"/>
              <w:bottom w:val="single" w:color="000000" w:sz="4" w:space="0"/>
              <w:right w:val="single" w:color="000000" w:sz="4" w:space="0"/>
            </w:tcBorders>
          </w:tcPr>
          <w:p>
            <w:pPr>
              <w:rPr>
                <w:rFonts w:ascii="宋体"/>
              </w:rPr>
            </w:pPr>
          </w:p>
        </w:tc>
      </w:tr>
      <w:tr>
        <w:tblPrEx>
          <w:tblCellMar>
            <w:top w:w="0" w:type="dxa"/>
            <w:left w:w="0" w:type="dxa"/>
            <w:bottom w:w="0" w:type="dxa"/>
            <w:right w:w="0" w:type="dxa"/>
          </w:tblCellMar>
        </w:tblPrEx>
        <w:trPr>
          <w:trHeight w:val="451" w:hRule="exact"/>
          <w:jc w:val="center"/>
        </w:trPr>
        <w:tc>
          <w:tcPr>
            <w:tcW w:w="217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241"/>
              <w:rPr>
                <w:rFonts w:ascii="宋体"/>
              </w:rPr>
            </w:pPr>
            <w:r>
              <w:rPr>
                <w:rFonts w:hint="eastAsia" w:ascii="宋体" w:cs="Microsoft JhengHei"/>
                <w:szCs w:val="21"/>
              </w:rPr>
              <w:t>基本</w:t>
            </w:r>
            <w:r>
              <w:rPr>
                <w:rFonts w:hint="eastAsia" w:ascii="宋体" w:cs="Microsoft JhengHei"/>
                <w:spacing w:val="-3"/>
                <w:szCs w:val="21"/>
              </w:rPr>
              <w:t>账</w:t>
            </w:r>
            <w:r>
              <w:rPr>
                <w:rFonts w:hint="eastAsia" w:ascii="宋体" w:cs="Microsoft JhengHei"/>
                <w:szCs w:val="21"/>
              </w:rPr>
              <w:t>户</w:t>
            </w:r>
            <w:r>
              <w:rPr>
                <w:rFonts w:hint="eastAsia" w:ascii="宋体" w:cs="Microsoft JhengHei"/>
                <w:spacing w:val="-3"/>
                <w:szCs w:val="21"/>
              </w:rPr>
              <w:t>开</w:t>
            </w:r>
            <w:r>
              <w:rPr>
                <w:rFonts w:hint="eastAsia" w:ascii="宋体" w:cs="Microsoft JhengHei"/>
                <w:szCs w:val="21"/>
              </w:rPr>
              <w:t>户</w:t>
            </w:r>
            <w:r>
              <w:rPr>
                <w:rFonts w:hint="eastAsia" w:ascii="宋体" w:cs="Microsoft JhengHei"/>
                <w:spacing w:val="-3"/>
                <w:szCs w:val="21"/>
              </w:rPr>
              <w:t>银</w:t>
            </w:r>
            <w:r>
              <w:rPr>
                <w:rFonts w:hint="eastAsia" w:ascii="宋体" w:cs="Microsoft JhengHei"/>
                <w:szCs w:val="21"/>
              </w:rPr>
              <w:t>行</w:t>
            </w:r>
          </w:p>
        </w:tc>
        <w:tc>
          <w:tcPr>
            <w:tcW w:w="6757" w:type="dxa"/>
            <w:gridSpan w:val="4"/>
            <w:tcBorders>
              <w:top w:val="single" w:color="000000" w:sz="4" w:space="0"/>
              <w:left w:val="single" w:color="000000" w:sz="4" w:space="0"/>
              <w:bottom w:val="single" w:color="000000" w:sz="4" w:space="0"/>
              <w:right w:val="single" w:color="000000" w:sz="4" w:space="0"/>
            </w:tcBorders>
          </w:tcPr>
          <w:p>
            <w:pPr>
              <w:rPr>
                <w:rFonts w:ascii="宋体"/>
              </w:rPr>
            </w:pPr>
          </w:p>
        </w:tc>
      </w:tr>
      <w:tr>
        <w:tblPrEx>
          <w:tblCellMar>
            <w:top w:w="0" w:type="dxa"/>
            <w:left w:w="0" w:type="dxa"/>
            <w:bottom w:w="0" w:type="dxa"/>
            <w:right w:w="0" w:type="dxa"/>
          </w:tblCellMar>
        </w:tblPrEx>
        <w:trPr>
          <w:trHeight w:val="449" w:hRule="exact"/>
          <w:jc w:val="center"/>
        </w:trPr>
        <w:tc>
          <w:tcPr>
            <w:tcW w:w="217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241"/>
              <w:rPr>
                <w:rFonts w:ascii="宋体"/>
              </w:rPr>
            </w:pPr>
            <w:r>
              <w:rPr>
                <w:rFonts w:hint="eastAsia" w:ascii="宋体" w:cs="Microsoft JhengHei"/>
                <w:szCs w:val="21"/>
              </w:rPr>
              <w:t>基本</w:t>
            </w:r>
            <w:r>
              <w:rPr>
                <w:rFonts w:hint="eastAsia" w:ascii="宋体" w:cs="Microsoft JhengHei"/>
                <w:spacing w:val="-3"/>
                <w:szCs w:val="21"/>
              </w:rPr>
              <w:t>账</w:t>
            </w:r>
            <w:r>
              <w:rPr>
                <w:rFonts w:hint="eastAsia" w:ascii="宋体" w:cs="Microsoft JhengHei"/>
                <w:szCs w:val="21"/>
              </w:rPr>
              <w:t>户</w:t>
            </w:r>
            <w:r>
              <w:rPr>
                <w:rFonts w:hint="eastAsia" w:ascii="宋体" w:cs="Microsoft JhengHei"/>
                <w:spacing w:val="-3"/>
                <w:szCs w:val="21"/>
              </w:rPr>
              <w:t>银</w:t>
            </w:r>
            <w:r>
              <w:rPr>
                <w:rFonts w:hint="eastAsia" w:ascii="宋体" w:cs="Microsoft JhengHei"/>
                <w:szCs w:val="21"/>
              </w:rPr>
              <w:t>行</w:t>
            </w:r>
            <w:r>
              <w:rPr>
                <w:rFonts w:hint="eastAsia" w:ascii="宋体" w:cs="Microsoft JhengHei"/>
                <w:spacing w:val="-3"/>
                <w:szCs w:val="21"/>
              </w:rPr>
              <w:t>账</w:t>
            </w:r>
            <w:r>
              <w:rPr>
                <w:rFonts w:hint="eastAsia" w:ascii="宋体" w:cs="Microsoft JhengHei"/>
                <w:szCs w:val="21"/>
              </w:rPr>
              <w:t>号</w:t>
            </w:r>
          </w:p>
        </w:tc>
        <w:tc>
          <w:tcPr>
            <w:tcW w:w="6757" w:type="dxa"/>
            <w:gridSpan w:val="4"/>
            <w:tcBorders>
              <w:top w:val="single" w:color="000000" w:sz="4" w:space="0"/>
              <w:left w:val="single" w:color="000000" w:sz="4" w:space="0"/>
              <w:bottom w:val="single" w:color="000000" w:sz="4" w:space="0"/>
              <w:right w:val="single" w:color="000000" w:sz="4" w:space="0"/>
            </w:tcBorders>
          </w:tcPr>
          <w:p>
            <w:pPr>
              <w:rPr>
                <w:rFonts w:ascii="宋体"/>
              </w:rPr>
            </w:pPr>
          </w:p>
        </w:tc>
      </w:tr>
      <w:tr>
        <w:tblPrEx>
          <w:tblCellMar>
            <w:top w:w="0" w:type="dxa"/>
            <w:left w:w="0" w:type="dxa"/>
            <w:bottom w:w="0" w:type="dxa"/>
            <w:right w:w="0" w:type="dxa"/>
          </w:tblCellMar>
        </w:tblPrEx>
        <w:trPr>
          <w:trHeight w:val="451" w:hRule="exact"/>
          <w:jc w:val="center"/>
        </w:trPr>
        <w:tc>
          <w:tcPr>
            <w:tcW w:w="217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450"/>
              <w:rPr>
                <w:rFonts w:ascii="宋体"/>
              </w:rPr>
            </w:pPr>
            <w:r>
              <w:rPr>
                <w:rFonts w:hint="eastAsia" w:ascii="宋体" w:cs="Microsoft JhengHei"/>
                <w:szCs w:val="21"/>
              </w:rPr>
              <w:t>近三</w:t>
            </w:r>
            <w:r>
              <w:rPr>
                <w:rFonts w:hint="eastAsia" w:ascii="宋体" w:cs="Microsoft JhengHei"/>
                <w:spacing w:val="-3"/>
                <w:szCs w:val="21"/>
              </w:rPr>
              <w:t>年</w:t>
            </w:r>
            <w:r>
              <w:rPr>
                <w:rFonts w:hint="eastAsia" w:ascii="宋体" w:cs="Microsoft JhengHei"/>
                <w:szCs w:val="21"/>
              </w:rPr>
              <w:t>营</w:t>
            </w:r>
            <w:r>
              <w:rPr>
                <w:rFonts w:hint="eastAsia" w:ascii="宋体" w:cs="Microsoft JhengHei"/>
                <w:spacing w:val="-3"/>
                <w:szCs w:val="21"/>
              </w:rPr>
              <w:t>业</w:t>
            </w:r>
            <w:r>
              <w:rPr>
                <w:rFonts w:hint="eastAsia" w:ascii="宋体" w:cs="Microsoft JhengHei"/>
                <w:szCs w:val="21"/>
              </w:rPr>
              <w:t>额</w:t>
            </w:r>
          </w:p>
        </w:tc>
        <w:tc>
          <w:tcPr>
            <w:tcW w:w="6757" w:type="dxa"/>
            <w:gridSpan w:val="4"/>
            <w:tcBorders>
              <w:top w:val="single" w:color="000000" w:sz="4" w:space="0"/>
              <w:left w:val="single" w:color="000000" w:sz="4" w:space="0"/>
              <w:bottom w:val="single" w:color="000000" w:sz="4" w:space="0"/>
              <w:right w:val="single" w:color="000000" w:sz="4" w:space="0"/>
            </w:tcBorders>
          </w:tcPr>
          <w:p>
            <w:pPr>
              <w:rPr>
                <w:rFonts w:ascii="宋体"/>
              </w:rPr>
            </w:pPr>
          </w:p>
        </w:tc>
      </w:tr>
      <w:tr>
        <w:tblPrEx>
          <w:tblCellMar>
            <w:top w:w="0" w:type="dxa"/>
            <w:left w:w="0" w:type="dxa"/>
            <w:bottom w:w="0" w:type="dxa"/>
            <w:right w:w="0" w:type="dxa"/>
          </w:tblCellMar>
        </w:tblPrEx>
        <w:trPr>
          <w:trHeight w:val="2630" w:hRule="exact"/>
          <w:jc w:val="center"/>
        </w:trPr>
        <w:tc>
          <w:tcPr>
            <w:tcW w:w="2175" w:type="dxa"/>
            <w:tcBorders>
              <w:top w:val="single" w:color="000000" w:sz="4" w:space="0"/>
              <w:left w:val="single" w:color="000000" w:sz="4" w:space="0"/>
              <w:bottom w:val="single" w:color="000000" w:sz="4" w:space="0"/>
              <w:right w:val="single" w:color="000000" w:sz="4" w:space="0"/>
            </w:tcBorders>
            <w:vAlign w:val="center"/>
          </w:tcPr>
          <w:p>
            <w:pPr>
              <w:pStyle w:val="40"/>
              <w:kinsoku w:val="0"/>
              <w:overflowPunct w:val="0"/>
              <w:spacing w:before="44"/>
              <w:ind w:left="135"/>
              <w:jc w:val="center"/>
              <w:rPr>
                <w:rFonts w:ascii="宋体" w:cs="Microsoft JhengHei"/>
                <w:szCs w:val="21"/>
              </w:rPr>
            </w:pPr>
            <w:r>
              <w:rPr>
                <w:rFonts w:hint="eastAsia" w:ascii="宋体" w:cs="Microsoft JhengHei"/>
                <w:szCs w:val="21"/>
                <w:lang w:eastAsia="zh-CN"/>
              </w:rPr>
              <w:t>响应人</w:t>
            </w:r>
            <w:r>
              <w:rPr>
                <w:rFonts w:hint="eastAsia" w:ascii="宋体" w:cs="Microsoft JhengHei"/>
                <w:szCs w:val="21"/>
              </w:rPr>
              <w:t>关</w:t>
            </w:r>
            <w:r>
              <w:rPr>
                <w:rFonts w:hint="eastAsia" w:ascii="宋体" w:cs="Microsoft JhengHei"/>
                <w:spacing w:val="-3"/>
                <w:szCs w:val="21"/>
              </w:rPr>
              <w:t>联</w:t>
            </w:r>
            <w:r>
              <w:rPr>
                <w:rFonts w:hint="eastAsia" w:ascii="宋体" w:cs="Microsoft JhengHei"/>
                <w:szCs w:val="21"/>
              </w:rPr>
              <w:t>企</w:t>
            </w:r>
            <w:r>
              <w:rPr>
                <w:rFonts w:hint="eastAsia" w:ascii="宋体" w:cs="Microsoft JhengHei"/>
                <w:spacing w:val="-3"/>
                <w:szCs w:val="21"/>
              </w:rPr>
              <w:t>业</w:t>
            </w:r>
            <w:r>
              <w:rPr>
                <w:rFonts w:hint="eastAsia" w:ascii="宋体" w:cs="Microsoft JhengHei"/>
                <w:szCs w:val="21"/>
              </w:rPr>
              <w:t>情况</w:t>
            </w:r>
          </w:p>
          <w:p>
            <w:pPr>
              <w:pStyle w:val="40"/>
              <w:kinsoku w:val="0"/>
              <w:overflowPunct w:val="0"/>
              <w:spacing w:line="349" w:lineRule="exact"/>
              <w:ind w:left="83"/>
              <w:jc w:val="center"/>
              <w:rPr>
                <w:rFonts w:ascii="宋体"/>
              </w:rPr>
            </w:pPr>
            <w:r>
              <w:rPr>
                <w:rFonts w:hint="eastAsia" w:ascii="宋体" w:cs="Microsoft JhengHei"/>
                <w:szCs w:val="21"/>
              </w:rPr>
              <w:t>（包</w:t>
            </w:r>
            <w:r>
              <w:rPr>
                <w:rFonts w:hint="eastAsia" w:ascii="宋体" w:cs="Microsoft JhengHei"/>
                <w:spacing w:val="-3"/>
                <w:szCs w:val="21"/>
              </w:rPr>
              <w:t>括</w:t>
            </w:r>
            <w:r>
              <w:rPr>
                <w:rFonts w:hint="eastAsia" w:ascii="宋体" w:cs="Microsoft JhengHei"/>
                <w:szCs w:val="21"/>
              </w:rPr>
              <w:t>但</w:t>
            </w:r>
            <w:r>
              <w:rPr>
                <w:rFonts w:hint="eastAsia" w:ascii="宋体" w:cs="Microsoft JhengHei"/>
                <w:spacing w:val="-3"/>
                <w:szCs w:val="21"/>
              </w:rPr>
              <w:t>不</w:t>
            </w:r>
            <w:r>
              <w:rPr>
                <w:rFonts w:hint="eastAsia" w:ascii="宋体" w:cs="Microsoft JhengHei"/>
                <w:szCs w:val="21"/>
              </w:rPr>
              <w:t>限</w:t>
            </w:r>
            <w:r>
              <w:rPr>
                <w:rFonts w:hint="eastAsia" w:ascii="宋体" w:cs="Microsoft JhengHei"/>
                <w:spacing w:val="-3"/>
                <w:szCs w:val="21"/>
              </w:rPr>
              <w:t>于</w:t>
            </w:r>
            <w:r>
              <w:rPr>
                <w:rFonts w:hint="eastAsia" w:ascii="宋体" w:cs="Microsoft JhengHei"/>
                <w:szCs w:val="21"/>
              </w:rPr>
              <w:t>与申请人</w:t>
            </w:r>
            <w:r>
              <w:rPr>
                <w:rFonts w:hint="eastAsia" w:ascii="宋体" w:cs="Microsoft JhengHei"/>
                <w:spacing w:val="-3"/>
                <w:szCs w:val="21"/>
              </w:rPr>
              <w:t>法</w:t>
            </w:r>
            <w:r>
              <w:rPr>
                <w:rFonts w:hint="eastAsia" w:ascii="宋体" w:cs="Microsoft JhengHei"/>
                <w:szCs w:val="21"/>
              </w:rPr>
              <w:t>定</w:t>
            </w:r>
            <w:r>
              <w:rPr>
                <w:rFonts w:hint="eastAsia" w:ascii="宋体" w:cs="Microsoft JhengHei"/>
                <w:spacing w:val="-3"/>
                <w:szCs w:val="21"/>
              </w:rPr>
              <w:t>代</w:t>
            </w:r>
            <w:r>
              <w:rPr>
                <w:rFonts w:hint="eastAsia" w:ascii="宋体" w:cs="Microsoft JhengHei"/>
                <w:szCs w:val="21"/>
              </w:rPr>
              <w:t>表</w:t>
            </w:r>
            <w:r>
              <w:rPr>
                <w:rFonts w:hint="eastAsia" w:ascii="宋体" w:cs="Microsoft JhengHei"/>
                <w:spacing w:val="-3"/>
                <w:szCs w:val="21"/>
              </w:rPr>
              <w:t>人</w:t>
            </w:r>
            <w:r>
              <w:rPr>
                <w:rFonts w:hint="eastAsia" w:ascii="宋体" w:cs="Microsoft JhengHei"/>
                <w:szCs w:val="21"/>
              </w:rPr>
              <w:t>（单位负</w:t>
            </w:r>
            <w:r>
              <w:rPr>
                <w:rFonts w:hint="eastAsia" w:ascii="宋体" w:cs="Microsoft JhengHei"/>
                <w:spacing w:val="-3"/>
                <w:szCs w:val="21"/>
              </w:rPr>
              <w:t>责</w:t>
            </w:r>
            <w:r>
              <w:rPr>
                <w:rFonts w:hint="eastAsia" w:ascii="宋体" w:cs="Microsoft JhengHei"/>
                <w:szCs w:val="21"/>
              </w:rPr>
              <w:t>人</w:t>
            </w:r>
            <w:r>
              <w:rPr>
                <w:rFonts w:hint="eastAsia" w:ascii="宋体" w:cs="Microsoft JhengHei"/>
                <w:spacing w:val="-3"/>
                <w:szCs w:val="21"/>
              </w:rPr>
              <w:t>）</w:t>
            </w:r>
            <w:r>
              <w:rPr>
                <w:rFonts w:hint="eastAsia" w:ascii="宋体" w:cs="Microsoft JhengHei"/>
                <w:szCs w:val="21"/>
              </w:rPr>
              <w:t>为</w:t>
            </w:r>
            <w:r>
              <w:rPr>
                <w:rFonts w:hint="eastAsia" w:ascii="宋体" w:cs="Microsoft JhengHei"/>
                <w:spacing w:val="-3"/>
                <w:szCs w:val="21"/>
              </w:rPr>
              <w:t>同</w:t>
            </w:r>
            <w:r>
              <w:rPr>
                <w:rFonts w:hint="eastAsia" w:ascii="宋体" w:cs="Microsoft JhengHei"/>
                <w:szCs w:val="21"/>
              </w:rPr>
              <w:t>一人或者</w:t>
            </w:r>
            <w:r>
              <w:rPr>
                <w:rFonts w:hint="eastAsia" w:ascii="宋体" w:cs="Microsoft JhengHei"/>
                <w:spacing w:val="-3"/>
                <w:szCs w:val="21"/>
              </w:rPr>
              <w:t>存</w:t>
            </w:r>
            <w:r>
              <w:rPr>
                <w:rFonts w:hint="eastAsia" w:ascii="宋体" w:cs="Microsoft JhengHei"/>
                <w:szCs w:val="21"/>
              </w:rPr>
              <w:t>在</w:t>
            </w:r>
            <w:r>
              <w:rPr>
                <w:rFonts w:hint="eastAsia" w:ascii="宋体" w:cs="Microsoft JhengHei"/>
                <w:spacing w:val="-3"/>
                <w:szCs w:val="21"/>
              </w:rPr>
              <w:t>控</w:t>
            </w:r>
            <w:r>
              <w:rPr>
                <w:rFonts w:hint="eastAsia" w:ascii="宋体" w:cs="Microsoft JhengHei"/>
                <w:szCs w:val="21"/>
              </w:rPr>
              <w:t>股</w:t>
            </w:r>
            <w:r>
              <w:rPr>
                <w:rFonts w:hint="eastAsia" w:ascii="宋体" w:cs="Microsoft JhengHei"/>
                <w:spacing w:val="-3"/>
                <w:szCs w:val="21"/>
              </w:rPr>
              <w:t>、</w:t>
            </w:r>
            <w:r>
              <w:rPr>
                <w:rFonts w:hint="eastAsia" w:ascii="宋体" w:cs="Microsoft JhengHei"/>
                <w:szCs w:val="21"/>
              </w:rPr>
              <w:t>管理关系</w:t>
            </w:r>
            <w:r>
              <w:rPr>
                <w:rFonts w:hint="eastAsia" w:ascii="宋体" w:cs="Microsoft JhengHei"/>
                <w:spacing w:val="-3"/>
                <w:szCs w:val="21"/>
              </w:rPr>
              <w:t>的</w:t>
            </w:r>
            <w:r>
              <w:rPr>
                <w:rFonts w:hint="eastAsia" w:ascii="宋体" w:cs="Microsoft JhengHei"/>
                <w:szCs w:val="21"/>
              </w:rPr>
              <w:t>不</w:t>
            </w:r>
            <w:r>
              <w:rPr>
                <w:rFonts w:hint="eastAsia" w:ascii="宋体" w:cs="Microsoft JhengHei"/>
                <w:spacing w:val="-3"/>
                <w:szCs w:val="21"/>
              </w:rPr>
              <w:t>同</w:t>
            </w:r>
            <w:r>
              <w:rPr>
                <w:rFonts w:hint="eastAsia" w:ascii="宋体" w:cs="Microsoft JhengHei"/>
                <w:szCs w:val="21"/>
              </w:rPr>
              <w:t>单</w:t>
            </w:r>
            <w:r>
              <w:rPr>
                <w:rFonts w:hint="eastAsia" w:ascii="宋体" w:cs="Microsoft JhengHei"/>
                <w:spacing w:val="-3"/>
                <w:szCs w:val="21"/>
              </w:rPr>
              <w:t>位</w:t>
            </w:r>
            <w:r>
              <w:rPr>
                <w:rFonts w:hint="eastAsia" w:ascii="宋体" w:cs="Microsoft JhengHei"/>
                <w:szCs w:val="21"/>
              </w:rPr>
              <w:t>）</w:t>
            </w:r>
          </w:p>
        </w:tc>
        <w:tc>
          <w:tcPr>
            <w:tcW w:w="6757" w:type="dxa"/>
            <w:gridSpan w:val="4"/>
            <w:tcBorders>
              <w:top w:val="single" w:color="000000" w:sz="4" w:space="0"/>
              <w:left w:val="single" w:color="000000" w:sz="4" w:space="0"/>
              <w:bottom w:val="single" w:color="000000" w:sz="4" w:space="0"/>
              <w:right w:val="single" w:color="000000" w:sz="4" w:space="0"/>
            </w:tcBorders>
          </w:tcPr>
          <w:p>
            <w:pPr>
              <w:rPr>
                <w:rFonts w:ascii="宋体"/>
              </w:rPr>
            </w:pPr>
          </w:p>
        </w:tc>
      </w:tr>
      <w:tr>
        <w:tblPrEx>
          <w:tblCellMar>
            <w:top w:w="0" w:type="dxa"/>
            <w:left w:w="0" w:type="dxa"/>
            <w:bottom w:w="0" w:type="dxa"/>
            <w:right w:w="0" w:type="dxa"/>
          </w:tblCellMar>
        </w:tblPrEx>
        <w:trPr>
          <w:trHeight w:val="784" w:hRule="exact"/>
          <w:jc w:val="center"/>
        </w:trPr>
        <w:tc>
          <w:tcPr>
            <w:tcW w:w="217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135"/>
              <w:rPr>
                <w:rFonts w:ascii="宋体"/>
              </w:rPr>
            </w:pPr>
            <w:r>
              <w:rPr>
                <w:rFonts w:hint="eastAsia" w:ascii="宋体" w:cs="Microsoft JhengHei"/>
                <w:szCs w:val="21"/>
              </w:rPr>
              <w:t>供应的设备或</w:t>
            </w:r>
            <w:r>
              <w:rPr>
                <w:rFonts w:hint="eastAsia" w:ascii="宋体" w:cs="Microsoft JhengHei"/>
                <w:spacing w:val="-3"/>
                <w:szCs w:val="21"/>
              </w:rPr>
              <w:t>材</w:t>
            </w:r>
            <w:r>
              <w:rPr>
                <w:rFonts w:hint="eastAsia" w:ascii="宋体" w:cs="Microsoft JhengHei"/>
                <w:szCs w:val="21"/>
              </w:rPr>
              <w:t>料</w:t>
            </w:r>
            <w:r>
              <w:rPr>
                <w:rFonts w:hint="eastAsia" w:ascii="宋体" w:cs="Microsoft JhengHei"/>
                <w:spacing w:val="-3"/>
                <w:szCs w:val="21"/>
              </w:rPr>
              <w:t>制</w:t>
            </w:r>
            <w:r>
              <w:rPr>
                <w:rFonts w:hint="eastAsia" w:ascii="宋体" w:cs="Microsoft JhengHei"/>
                <w:szCs w:val="21"/>
              </w:rPr>
              <w:t>造</w:t>
            </w:r>
            <w:r>
              <w:rPr>
                <w:rFonts w:hint="eastAsia" w:ascii="宋体" w:cs="Microsoft JhengHei"/>
                <w:spacing w:val="-3"/>
                <w:szCs w:val="21"/>
              </w:rPr>
              <w:t>商</w:t>
            </w:r>
            <w:r>
              <w:rPr>
                <w:rFonts w:hint="eastAsia" w:ascii="宋体" w:cs="Microsoft JhengHei"/>
                <w:szCs w:val="21"/>
              </w:rPr>
              <w:t>名称，型号及规格</w:t>
            </w:r>
          </w:p>
        </w:tc>
        <w:tc>
          <w:tcPr>
            <w:tcW w:w="6757" w:type="dxa"/>
            <w:gridSpan w:val="4"/>
            <w:tcBorders>
              <w:top w:val="single" w:color="000000" w:sz="4" w:space="0"/>
              <w:left w:val="single" w:color="000000" w:sz="4" w:space="0"/>
              <w:bottom w:val="single" w:color="000000" w:sz="4" w:space="0"/>
              <w:right w:val="single" w:color="000000" w:sz="4" w:space="0"/>
            </w:tcBorders>
          </w:tcPr>
          <w:p>
            <w:pPr>
              <w:rPr>
                <w:rFonts w:ascii="宋体"/>
              </w:rPr>
            </w:pPr>
          </w:p>
        </w:tc>
      </w:tr>
      <w:tr>
        <w:tblPrEx>
          <w:tblCellMar>
            <w:top w:w="0" w:type="dxa"/>
            <w:left w:w="0" w:type="dxa"/>
            <w:bottom w:w="0" w:type="dxa"/>
            <w:right w:w="0" w:type="dxa"/>
          </w:tblCellMar>
        </w:tblPrEx>
        <w:trPr>
          <w:trHeight w:val="449" w:hRule="exact"/>
          <w:jc w:val="center"/>
        </w:trPr>
        <w:tc>
          <w:tcPr>
            <w:tcW w:w="217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44"/>
              <w:ind w:left="851" w:right="851"/>
              <w:jc w:val="center"/>
              <w:rPr>
                <w:rFonts w:ascii="宋体"/>
              </w:rPr>
            </w:pPr>
            <w:r>
              <w:rPr>
                <w:rFonts w:hint="eastAsia" w:ascii="宋体" w:cs="Microsoft JhengHei"/>
                <w:szCs w:val="21"/>
              </w:rPr>
              <w:t>备注</w:t>
            </w:r>
          </w:p>
        </w:tc>
        <w:tc>
          <w:tcPr>
            <w:tcW w:w="6757" w:type="dxa"/>
            <w:gridSpan w:val="4"/>
            <w:tcBorders>
              <w:top w:val="single" w:color="000000" w:sz="4" w:space="0"/>
              <w:left w:val="single" w:color="000000" w:sz="4" w:space="0"/>
              <w:bottom w:val="single" w:color="000000" w:sz="4" w:space="0"/>
              <w:right w:val="single" w:color="000000" w:sz="4" w:space="0"/>
            </w:tcBorders>
          </w:tcPr>
          <w:p>
            <w:pPr>
              <w:rPr>
                <w:rFonts w:ascii="宋体"/>
              </w:rPr>
            </w:pPr>
          </w:p>
        </w:tc>
      </w:tr>
    </w:tbl>
    <w:p>
      <w:pPr>
        <w:spacing w:line="300" w:lineRule="auto"/>
        <w:ind w:firstLine="601"/>
        <w:rPr>
          <w:u w:val="single"/>
        </w:rPr>
      </w:pPr>
    </w:p>
    <w:p>
      <w:pPr>
        <w:spacing w:line="300" w:lineRule="auto"/>
        <w:rPr>
          <w:rFonts w:ascii="宋体"/>
          <w:b/>
          <w:bCs/>
          <w:color w:val="000000" w:themeColor="text1"/>
          <w:szCs w:val="21"/>
          <w14:textFill>
            <w14:solidFill>
              <w14:schemeClr w14:val="tx1"/>
            </w14:solidFill>
          </w14:textFill>
        </w:rPr>
      </w:pPr>
      <w:r>
        <w:rPr>
          <w:rFonts w:hint="eastAsia" w:ascii="宋体"/>
          <w:b/>
          <w:bCs/>
          <w:color w:val="000000" w:themeColor="text1"/>
          <w:szCs w:val="21"/>
          <w14:textFill>
            <w14:solidFill>
              <w14:schemeClr w14:val="tx1"/>
            </w14:solidFill>
          </w14:textFill>
        </w:rPr>
        <w:t>注：后附响应人营业执照副本</w:t>
      </w:r>
      <w:r>
        <w:rPr>
          <w:rFonts w:ascii="宋体"/>
          <w:b/>
          <w:bCs/>
          <w:color w:val="000000" w:themeColor="text1"/>
          <w:szCs w:val="21"/>
          <w14:textFill>
            <w14:solidFill>
              <w14:schemeClr w14:val="tx1"/>
            </w14:solidFill>
          </w14:textFill>
        </w:rPr>
        <w:t>、</w:t>
      </w:r>
      <w:r>
        <w:rPr>
          <w:rFonts w:ascii="宋体"/>
          <w:b/>
          <w:bCs/>
          <w:szCs w:val="21"/>
        </w:rPr>
        <w:t>资质证书</w:t>
      </w:r>
      <w:r>
        <w:rPr>
          <w:rFonts w:hint="eastAsia" w:ascii="宋体"/>
          <w:b/>
          <w:bCs/>
          <w:szCs w:val="21"/>
        </w:rPr>
        <w:t>（如需要）、安全生产许可证（如需要）</w:t>
      </w:r>
      <w:r>
        <w:rPr>
          <w:rFonts w:hint="eastAsia" w:ascii="宋体"/>
          <w:b/>
          <w:bCs/>
          <w:color w:val="000000" w:themeColor="text1"/>
          <w:szCs w:val="21"/>
          <w14:textFill>
            <w14:solidFill>
              <w14:schemeClr w14:val="tx1"/>
            </w14:solidFill>
          </w14:textFill>
        </w:rPr>
        <w:t>复印件加盖单位公章。</w:t>
      </w:r>
    </w:p>
    <w:p>
      <w:pPr>
        <w:spacing w:line="360" w:lineRule="auto"/>
        <w:rPr>
          <w:color w:val="FF0000"/>
        </w:rPr>
      </w:pPr>
    </w:p>
    <w:p>
      <w:pPr>
        <w:spacing w:line="360" w:lineRule="auto"/>
      </w:pPr>
    </w:p>
    <w:p>
      <w:pPr>
        <w:spacing w:line="360" w:lineRule="auto"/>
      </w:pPr>
    </w:p>
    <w:p>
      <w:pPr>
        <w:spacing w:line="360" w:lineRule="auto"/>
        <w:rPr>
          <w:rFonts w:ascii="宋体"/>
          <w:sz w:val="24"/>
        </w:rPr>
        <w:sectPr>
          <w:footerReference r:id="rId9" w:type="default"/>
          <w:pgSz w:w="11906" w:h="16838"/>
          <w:pgMar w:top="1380" w:right="1558" w:bottom="1440" w:left="1797" w:header="851" w:footer="666" w:gutter="0"/>
          <w:pgBorders>
            <w:top w:val="none" w:sz="0" w:space="0"/>
            <w:left w:val="none" w:sz="0" w:space="0"/>
            <w:bottom w:val="none" w:sz="0" w:space="0"/>
            <w:right w:val="none" w:sz="0" w:space="0"/>
          </w:pgBorders>
          <w:cols w:space="720" w:num="1"/>
          <w:titlePg/>
          <w:docGrid w:type="lines" w:linePitch="312" w:charSpace="0"/>
        </w:sectPr>
      </w:pPr>
    </w:p>
    <w:p>
      <w:pPr>
        <w:pStyle w:val="5"/>
        <w:rPr>
          <w:rFonts w:ascii="宋体"/>
          <w:lang w:val="zh-CN"/>
        </w:rPr>
      </w:pPr>
      <w:r>
        <w:rPr>
          <w:rFonts w:hint="eastAsia" w:ascii="宋体"/>
        </w:rPr>
        <w:t>五</w:t>
      </w:r>
      <w:r>
        <w:rPr>
          <w:rFonts w:hint="eastAsia" w:ascii="宋体"/>
          <w:lang w:val="zh-CN"/>
        </w:rPr>
        <w:t>、</w:t>
      </w:r>
      <w:r>
        <w:rPr>
          <w:rFonts w:hint="eastAsia"/>
        </w:rPr>
        <w:t>信用中国查询结果</w:t>
      </w:r>
    </w:p>
    <w:p>
      <w:pPr>
        <w:pStyle w:val="36"/>
        <w:tabs>
          <w:tab w:val="left" w:pos="1060"/>
        </w:tabs>
        <w:autoSpaceDE w:val="0"/>
        <w:autoSpaceDN w:val="0"/>
        <w:spacing w:line="360" w:lineRule="auto"/>
        <w:ind w:firstLine="480"/>
        <w:jc w:val="left"/>
        <w:rPr>
          <w:rFonts w:ascii="宋体" w:cs="宋体"/>
          <w:sz w:val="24"/>
          <w:szCs w:val="24"/>
        </w:rPr>
      </w:pPr>
      <w:r>
        <w:rPr>
          <w:rFonts w:hint="eastAsia" w:ascii="宋体" w:cs="宋体"/>
          <w:sz w:val="24"/>
          <w:szCs w:val="24"/>
        </w:rPr>
        <w:t>开标日前一日或当日的信用中国查询结果截图，</w:t>
      </w:r>
      <w:r>
        <w:rPr>
          <w:rFonts w:hint="eastAsia" w:ascii="宋体" w:cs="宋体"/>
          <w:kern w:val="0"/>
          <w:sz w:val="24"/>
        </w:rPr>
        <w:t>未被 “信用中国”网站列入失信被执行人名单。</w:t>
      </w:r>
    </w:p>
    <w:p>
      <w:pPr>
        <w:pStyle w:val="36"/>
        <w:tabs>
          <w:tab w:val="left" w:pos="1060"/>
        </w:tabs>
        <w:autoSpaceDE w:val="0"/>
        <w:autoSpaceDN w:val="0"/>
        <w:spacing w:line="306" w:lineRule="exact"/>
        <w:ind w:firstLine="0" w:firstLineChars="0"/>
        <w:jc w:val="left"/>
        <w:rPr>
          <w:rFonts w:ascii="宋体" w:cs="宋体"/>
          <w:sz w:val="24"/>
          <w:szCs w:val="24"/>
        </w:rPr>
      </w:pPr>
    </w:p>
    <w:p>
      <w:pPr>
        <w:rPr>
          <w:rFonts w:ascii="宋体" w:hAnsi="宋体"/>
          <w:b/>
          <w:kern w:val="44"/>
          <w:sz w:val="32"/>
          <w:szCs w:val="32"/>
        </w:rPr>
        <w:sectPr>
          <w:pgSz w:w="11906" w:h="16838"/>
          <w:pgMar w:top="1380" w:right="1558" w:bottom="1440" w:left="1797" w:header="851" w:footer="666"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b/>
          <w:kern w:val="44"/>
          <w:sz w:val="32"/>
          <w:szCs w:val="32"/>
        </w:rPr>
        <w:br w:type="page"/>
      </w:r>
    </w:p>
    <w:p>
      <w:pPr>
        <w:widowControl/>
        <w:numPr>
          <w:ilvl w:val="0"/>
          <w:numId w:val="3"/>
        </w:numPr>
        <w:spacing w:line="360" w:lineRule="auto"/>
        <w:ind w:left="8937" w:hanging="8937" w:hangingChars="2782"/>
        <w:jc w:val="center"/>
        <w:rPr>
          <w:rFonts w:ascii="宋体" w:hAnsi="宋体"/>
          <w:b/>
          <w:color w:val="auto"/>
          <w:kern w:val="44"/>
          <w:sz w:val="32"/>
          <w:szCs w:val="32"/>
        </w:rPr>
      </w:pPr>
      <w:bookmarkStart w:id="141" w:name="_Toc30710"/>
      <w:bookmarkStart w:id="142" w:name="_Toc26079"/>
      <w:bookmarkStart w:id="143" w:name="_Toc22576"/>
      <w:bookmarkStart w:id="144" w:name="_Toc396236629"/>
      <w:bookmarkStart w:id="145" w:name="_Toc18850"/>
      <w:bookmarkStart w:id="146" w:name="_Toc5728"/>
      <w:bookmarkStart w:id="147" w:name="_Toc27154"/>
      <w:bookmarkStart w:id="148" w:name="_Toc396236155"/>
      <w:bookmarkStart w:id="149" w:name="_Toc31704"/>
      <w:r>
        <w:rPr>
          <w:rFonts w:hint="eastAsia" w:ascii="宋体" w:hAnsi="宋体"/>
          <w:b/>
          <w:color w:val="auto"/>
          <w:kern w:val="44"/>
          <w:sz w:val="32"/>
          <w:szCs w:val="32"/>
        </w:rPr>
        <w:t>报价明细表（技术要求后附）</w:t>
      </w:r>
    </w:p>
    <w:tbl>
      <w:tblPr>
        <w:tblStyle w:val="25"/>
        <w:tblpPr w:leftFromText="180" w:rightFromText="180" w:vertAnchor="text" w:horzAnchor="page" w:tblpX="1602" w:tblpY="678"/>
        <w:tblOverlap w:val="never"/>
        <w:tblW w:w="13896" w:type="dxa"/>
        <w:tblInd w:w="0" w:type="dxa"/>
        <w:shd w:val="clear" w:color="auto" w:fill="auto"/>
        <w:tblLayout w:type="fixed"/>
        <w:tblCellMar>
          <w:top w:w="0" w:type="dxa"/>
          <w:left w:w="108" w:type="dxa"/>
          <w:bottom w:w="0" w:type="dxa"/>
          <w:right w:w="108" w:type="dxa"/>
        </w:tblCellMar>
      </w:tblPr>
      <w:tblGrid>
        <w:gridCol w:w="557"/>
        <w:gridCol w:w="4113"/>
        <w:gridCol w:w="2725"/>
        <w:gridCol w:w="879"/>
        <w:gridCol w:w="750"/>
        <w:gridCol w:w="685"/>
        <w:gridCol w:w="707"/>
        <w:gridCol w:w="1168"/>
        <w:gridCol w:w="965"/>
        <w:gridCol w:w="1328"/>
        <w:gridCol w:w="19"/>
      </w:tblGrid>
      <w:tr>
        <w:tblPrEx>
          <w:tblCellMar>
            <w:top w:w="0" w:type="dxa"/>
            <w:left w:w="108" w:type="dxa"/>
            <w:bottom w:w="0" w:type="dxa"/>
            <w:right w:w="108" w:type="dxa"/>
          </w:tblCellMar>
        </w:tblPrEx>
        <w:trPr>
          <w:gridAfter w:val="1"/>
          <w:wAfter w:w="19" w:type="dxa"/>
          <w:trHeight w:val="679"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序号</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名称、型号及规格</w:t>
            </w:r>
          </w:p>
        </w:tc>
        <w:tc>
          <w:tcPr>
            <w:tcW w:w="2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标准及说明</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单位</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税率</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含税单价（元）</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含税总价(元）</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备注</w:t>
            </w:r>
          </w:p>
        </w:tc>
      </w:tr>
      <w:tr>
        <w:tblPrEx>
          <w:tblCellMar>
            <w:top w:w="0" w:type="dxa"/>
            <w:left w:w="108" w:type="dxa"/>
            <w:bottom w:w="0" w:type="dxa"/>
            <w:right w:w="108" w:type="dxa"/>
          </w:tblCellMar>
        </w:tblPrEx>
        <w:trPr>
          <w:gridAfter w:val="1"/>
          <w:wAfter w:w="19" w:type="dxa"/>
          <w:trHeight w:val="289"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镀锌螺旋管外护层聚氨酯泡沫塑料预制架空保温管普通流体输送管道用埋弧焊钢管 Ø325×7</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2"/>
                <w:szCs w:val="22"/>
              </w:rPr>
            </w:pPr>
            <w:r>
              <w:rPr>
                <w:rFonts w:hint="eastAsia" w:ascii="宋体" w:hAnsi="宋体" w:cs="宋体"/>
                <w:color w:val="auto"/>
                <w:kern w:val="0"/>
                <w:sz w:val="22"/>
                <w:szCs w:val="22"/>
                <w:lang w:bidi="ar"/>
              </w:rPr>
              <w:t>GB/T3091-2015；CJ/T129-2000,聚氨酯保温层,厚30mm,耐温45℃,耐火等级不低于B1级;镀锌铁皮,厚0.6mm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Q235B</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819"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2</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镀锌螺旋管外护层聚氨酯泡沫塑料预制架空保温管普通流体输送管道用埋弧焊钢管 Ø273×6</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2"/>
                <w:szCs w:val="22"/>
              </w:rPr>
            </w:pPr>
            <w:r>
              <w:rPr>
                <w:rFonts w:hint="eastAsia" w:ascii="宋体" w:hAnsi="宋体" w:cs="宋体"/>
                <w:color w:val="auto"/>
                <w:kern w:val="0"/>
                <w:sz w:val="22"/>
                <w:szCs w:val="22"/>
                <w:lang w:bidi="ar"/>
              </w:rPr>
              <w:t>GB/T3091-2015；CJ/T129-2000,聚氨酯保温层,厚30mm,耐温45℃,耐火等级不低于B1级;镀锌铁皮,厚0.6mm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Q235B</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2231</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386"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镀锌螺旋管外护层聚氨酯泡沫塑料预制架空保温管普通流体输送管道用埋弧焊钢管 Ø219×6</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2"/>
                <w:szCs w:val="22"/>
              </w:rPr>
            </w:pPr>
            <w:r>
              <w:rPr>
                <w:rFonts w:hint="eastAsia" w:ascii="宋体" w:hAnsi="宋体" w:cs="宋体"/>
                <w:color w:val="auto"/>
                <w:kern w:val="0"/>
                <w:sz w:val="22"/>
                <w:szCs w:val="22"/>
                <w:lang w:bidi="ar"/>
              </w:rPr>
              <w:t>GB/T3091-2015；CJ/T129-2000,聚氨酯保温层,厚30mm,耐温45℃,耐火等级不低于B1级;镀锌铁皮,厚0.5mm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Q235B</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5618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386"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4</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镀锌螺旋管外护层聚氨酯泡沫塑料预制架空保温管输送流体用无缝钢管 Ø159×5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GB/T8163-2018；CJ/T129-2000,聚氨酯厚度30mm，耐火等级不低于B1级；镀锌铁皮厚0.5mm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8867</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386"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镀锌螺旋管外护层聚氨酯泡沫塑料预制架空保温管输送流体用无缝钢管 Ø133×4.5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GB/T8163-2018；CJ/T129-2000,聚氨酯厚度30mm，耐火等级不低于B1级；镀锌铁皮厚0.5mm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9398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386"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6</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镀锌螺旋管外护层聚氨酯泡沫塑料预制架空保温管输送流体用无缝钢管 Ø108×4</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GB/T8163-2018；CJ/T129-2000,聚氨酯厚度30mm，耐火等级不低于B1级；镀锌铁皮厚0.5mm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17080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386"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7</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镀锌螺旋管外护层聚氨酯泡沫塑料预制架空保温管输送流体用无缝钢管 Ø89×4</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GB/T8163-2018；CJ/T129-2000,聚氨酯厚度30mm，耐火等级不低于B1级；镀锌铁皮厚0.5mm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17869</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386"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8</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镀锌螺旋管外护层聚氨酯泡沫塑料预制架空保温管输送流体用无缝钢管 Ø76×4</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GB/T8163-2018；CJ/T129-2000,聚氨酯厚度30mm，耐火等级不低于B1级；镀锌铁皮厚0.5mm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9639</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386"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9</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镀锌螺旋管外护层聚氨酯泡沫塑料预制架空保温管输送流体用无缝钢管     Ø57×3.5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GB/T8163-2018；CJ/T129-2000,聚氨酯厚度30mm，耐火等级不低于B1级；镀锌铁皮厚0.5mm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2523</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386"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10</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镀锌螺旋管外护层聚氨酯泡沫塑料预制架空保温管输送流体用无缝钢管 Ø48×3</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GB/T8163-2018；CJ/T129-2000,聚氨酯厚度30mm，耐火等级不低于B1级；镀锌铁皮厚0.5mm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432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386"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11</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镀锌螺旋管外护层聚氨酯泡沫塑料预制架空保温管输送流体用无缝钢管     Ø45×3</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GB/T8163-2018；CJ/T129-2000,聚氨酯厚度30mm，耐火等级不低于B1级；镀锌铁皮厚0.5mm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231</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386"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12</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镀锌螺旋管外护层聚氨酯泡沫塑料预制架空保温管输送流体用无缝钢管 Ø42×3</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GB/T8163-2018；CJ/T129-2000,聚氨酯厚度30mm，耐火等级不低于B1级；镀锌铁皮厚0.5mm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610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386"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13</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镀锌螺旋管外护层聚氨酯泡沫塑料预制架空保温管输送流体用无缝钢管 Ø38×3</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GB/T8163-2018；CJ/T129-2000,聚氨酯厚度30mm，耐火等级不低于B1级；镀锌铁皮厚0.5mm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14</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镀锌螺旋管外护层聚氨酯泡沫塑料预制架空保温管输送流体用无缝钢管 Ø32×3</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GB/T8163-2018；CJ/T129-2000,聚氨酯厚度30mm，耐火等级不低于B1级；镀锌铁皮厚0.5mm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954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15</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镀锌螺旋管外护层聚氨酯泡沫塑料预制架空保温管输送流体用无缝钢管 Ø25×3</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GB/T8163-2018；CJ/T129-2000,聚氨酯厚度30mm，耐火等级不低于B1级；镀锌铁皮厚0.5mm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451</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16</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高密度聚乙烯外护管硬质聚氨酯泡沫塑料预制直埋保温管输送流体用无缝钢管 Ø</w:t>
            </w:r>
            <w:r>
              <w:rPr>
                <w:rFonts w:hint="eastAsia" w:ascii="宋体" w:hAnsi="宋体" w:cs="宋体"/>
                <w:color w:val="auto"/>
                <w:kern w:val="0"/>
                <w:sz w:val="22"/>
                <w:szCs w:val="22"/>
                <w:lang w:val="en-US" w:eastAsia="zh-CN" w:bidi="ar"/>
              </w:rPr>
              <w:t>720</w:t>
            </w:r>
            <w:r>
              <w:rPr>
                <w:rFonts w:hint="eastAsia" w:ascii="宋体" w:hAnsi="宋体" w:cs="宋体"/>
                <w:color w:val="auto"/>
                <w:kern w:val="0"/>
                <w:sz w:val="22"/>
                <w:szCs w:val="22"/>
                <w:lang w:bidi="ar"/>
              </w:rPr>
              <w:t>×</w:t>
            </w:r>
            <w:r>
              <w:rPr>
                <w:rFonts w:hint="eastAsia" w:ascii="宋体" w:hAnsi="宋体" w:cs="宋体"/>
                <w:color w:val="auto"/>
                <w:kern w:val="0"/>
                <w:sz w:val="22"/>
                <w:szCs w:val="22"/>
                <w:lang w:val="en-US" w:eastAsia="zh-CN" w:bidi="ar"/>
              </w:rPr>
              <w:t>10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GB/T8163-2018；GB/T29047-2021,聚氨酯厚度</w:t>
            </w:r>
            <w:r>
              <w:rPr>
                <w:rStyle w:val="45"/>
                <w:rFonts w:hint="eastAsia"/>
                <w:color w:val="auto"/>
                <w:highlight w:val="none"/>
                <w:lang w:val="en-US" w:eastAsia="zh-CN" w:bidi="ar"/>
              </w:rPr>
              <w:t>53</w:t>
            </w:r>
            <w:r>
              <w:rPr>
                <w:rStyle w:val="46"/>
                <w:rFonts w:hint="default"/>
                <w:color w:val="auto"/>
                <w:highlight w:val="none"/>
                <w:lang w:bidi="ar"/>
              </w:rPr>
              <w:t>mm，耐火等级不低于B1级；聚乙烯厚</w:t>
            </w:r>
            <w:r>
              <w:rPr>
                <w:rStyle w:val="45"/>
                <w:rFonts w:hint="eastAsia"/>
                <w:color w:val="auto"/>
                <w:highlight w:val="none"/>
                <w:lang w:val="en-US" w:eastAsia="zh-CN" w:bidi="ar"/>
              </w:rPr>
              <w:t>12</w:t>
            </w:r>
            <w:r>
              <w:rPr>
                <w:rStyle w:val="46"/>
                <w:rFonts w:hint="default"/>
                <w:color w:val="auto"/>
                <w:highlight w:val="none"/>
                <w:lang w:bidi="ar"/>
              </w:rPr>
              <w:t>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highlight w:val="none"/>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highlight w:val="none"/>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val="en-US" w:eastAsia="zh-CN" w:bidi="ar"/>
              </w:rPr>
              <w:t>1500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17</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高密度聚乙烯外护管硬质聚氨酯泡沫塑料预制直埋保温管输送流体用无缝钢管 Ø</w:t>
            </w:r>
            <w:r>
              <w:rPr>
                <w:rFonts w:hint="eastAsia" w:ascii="宋体" w:hAnsi="宋体" w:cs="宋体"/>
                <w:color w:val="auto"/>
                <w:kern w:val="0"/>
                <w:sz w:val="22"/>
                <w:szCs w:val="22"/>
                <w:lang w:val="en-US" w:eastAsia="zh-CN" w:bidi="ar"/>
              </w:rPr>
              <w:t>426</w:t>
            </w:r>
            <w:r>
              <w:rPr>
                <w:rFonts w:hint="eastAsia" w:ascii="宋体" w:hAnsi="宋体" w:cs="宋体"/>
                <w:color w:val="auto"/>
                <w:kern w:val="0"/>
                <w:sz w:val="22"/>
                <w:szCs w:val="22"/>
                <w:lang w:bidi="ar"/>
              </w:rPr>
              <w:t>×</w:t>
            </w:r>
            <w:r>
              <w:rPr>
                <w:rFonts w:hint="eastAsia" w:ascii="宋体" w:hAnsi="宋体" w:cs="宋体"/>
                <w:color w:val="auto"/>
                <w:kern w:val="0"/>
                <w:sz w:val="22"/>
                <w:szCs w:val="22"/>
                <w:lang w:val="en-US" w:eastAsia="zh-CN" w:bidi="ar"/>
              </w:rPr>
              <w:t>7</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GB/T8163-2018；GB/T29047-2021,聚氨酯厚度</w:t>
            </w:r>
            <w:r>
              <w:rPr>
                <w:rStyle w:val="45"/>
                <w:rFonts w:hint="eastAsia"/>
                <w:color w:val="auto"/>
                <w:highlight w:val="none"/>
                <w:lang w:val="en-US" w:eastAsia="zh-CN" w:bidi="ar"/>
              </w:rPr>
              <w:t>53.2</w:t>
            </w:r>
            <w:r>
              <w:rPr>
                <w:rStyle w:val="46"/>
                <w:rFonts w:hint="default"/>
                <w:color w:val="auto"/>
                <w:highlight w:val="none"/>
                <w:lang w:bidi="ar"/>
              </w:rPr>
              <w:t>mm，耐火等级不低于B1级；聚乙烯厚</w:t>
            </w:r>
            <w:r>
              <w:rPr>
                <w:rStyle w:val="45"/>
                <w:rFonts w:hint="eastAsia"/>
                <w:color w:val="auto"/>
                <w:highlight w:val="none"/>
                <w:lang w:val="en-US" w:eastAsia="zh-CN" w:bidi="ar"/>
              </w:rPr>
              <w:t>8.8</w:t>
            </w:r>
            <w:r>
              <w:rPr>
                <w:rStyle w:val="46"/>
                <w:rFonts w:hint="default"/>
                <w:color w:val="auto"/>
                <w:highlight w:val="none"/>
                <w:lang w:bidi="ar"/>
              </w:rPr>
              <w:t>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highlight w:val="none"/>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highlight w:val="none"/>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val="en-US" w:eastAsia="zh-CN" w:bidi="ar"/>
              </w:rPr>
              <w:t>3400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18</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高密度聚乙烯外护管硬质聚氨酯泡沫塑料预制直埋保温管输送流体用无缝钢管 Ø</w:t>
            </w:r>
            <w:r>
              <w:rPr>
                <w:rFonts w:hint="eastAsia" w:ascii="宋体" w:hAnsi="宋体" w:cs="宋体"/>
                <w:color w:val="auto"/>
                <w:kern w:val="0"/>
                <w:sz w:val="22"/>
                <w:szCs w:val="22"/>
                <w:lang w:val="en-US" w:eastAsia="zh-CN" w:bidi="ar"/>
              </w:rPr>
              <w:t>377</w:t>
            </w:r>
            <w:r>
              <w:rPr>
                <w:rFonts w:hint="eastAsia" w:ascii="宋体" w:hAnsi="宋体" w:cs="宋体"/>
                <w:color w:val="auto"/>
                <w:kern w:val="0"/>
                <w:sz w:val="22"/>
                <w:szCs w:val="22"/>
                <w:lang w:bidi="ar"/>
              </w:rPr>
              <w:t>×</w:t>
            </w:r>
            <w:r>
              <w:rPr>
                <w:rFonts w:hint="eastAsia" w:ascii="宋体" w:hAnsi="宋体" w:cs="宋体"/>
                <w:color w:val="auto"/>
                <w:kern w:val="0"/>
                <w:sz w:val="22"/>
                <w:szCs w:val="22"/>
                <w:lang w:val="en-US" w:eastAsia="zh-CN" w:bidi="ar"/>
              </w:rPr>
              <w:t>7</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GB/T8163-2018；GB/T29047-2021,聚氨酯厚度</w:t>
            </w:r>
            <w:r>
              <w:rPr>
                <w:rStyle w:val="45"/>
                <w:rFonts w:hint="eastAsia"/>
                <w:color w:val="auto"/>
                <w:highlight w:val="none"/>
                <w:lang w:val="en-US" w:eastAsia="zh-CN" w:bidi="ar"/>
              </w:rPr>
              <w:t>53.7</w:t>
            </w:r>
            <w:r>
              <w:rPr>
                <w:rStyle w:val="46"/>
                <w:rFonts w:hint="default"/>
                <w:color w:val="auto"/>
                <w:highlight w:val="none"/>
                <w:lang w:bidi="ar"/>
              </w:rPr>
              <w:t>mm，耐火等级不低于B1级；聚乙烯厚</w:t>
            </w:r>
            <w:r>
              <w:rPr>
                <w:rStyle w:val="45"/>
                <w:rFonts w:hint="eastAsia"/>
                <w:color w:val="auto"/>
                <w:highlight w:val="none"/>
                <w:lang w:val="en-US" w:eastAsia="zh-CN" w:bidi="ar"/>
              </w:rPr>
              <w:t>7.8</w:t>
            </w:r>
            <w:r>
              <w:rPr>
                <w:rStyle w:val="46"/>
                <w:rFonts w:hint="default"/>
                <w:color w:val="auto"/>
                <w:highlight w:val="none"/>
                <w:lang w:bidi="ar"/>
              </w:rPr>
              <w:t>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highlight w:val="none"/>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highlight w:val="none"/>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val="en-US" w:eastAsia="zh-CN" w:bidi="ar"/>
              </w:rPr>
              <w:t>2200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19</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高密度聚乙烯外护管硬质聚氨酯泡沫塑料预制直埋保温管输送流体用无缝钢管 Ø</w:t>
            </w:r>
            <w:r>
              <w:rPr>
                <w:rFonts w:hint="eastAsia" w:ascii="宋体" w:hAnsi="宋体" w:cs="宋体"/>
                <w:color w:val="auto"/>
                <w:kern w:val="0"/>
                <w:sz w:val="22"/>
                <w:szCs w:val="22"/>
                <w:lang w:val="en-US" w:eastAsia="zh-CN" w:bidi="ar"/>
              </w:rPr>
              <w:t>325</w:t>
            </w:r>
            <w:r>
              <w:rPr>
                <w:rFonts w:hint="eastAsia" w:ascii="宋体" w:hAnsi="宋体" w:cs="宋体"/>
                <w:color w:val="auto"/>
                <w:kern w:val="0"/>
                <w:sz w:val="22"/>
                <w:szCs w:val="22"/>
                <w:lang w:bidi="ar"/>
              </w:rPr>
              <w:t>×</w:t>
            </w:r>
            <w:r>
              <w:rPr>
                <w:rFonts w:hint="eastAsia" w:ascii="宋体" w:hAnsi="宋体" w:cs="宋体"/>
                <w:color w:val="auto"/>
                <w:kern w:val="0"/>
                <w:sz w:val="22"/>
                <w:szCs w:val="22"/>
                <w:lang w:val="en-US" w:eastAsia="zh-CN" w:bidi="ar"/>
              </w:rPr>
              <w:t>7</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GB/T8163-2018；GB/T29047-2021,聚氨酯厚度</w:t>
            </w:r>
            <w:r>
              <w:rPr>
                <w:rStyle w:val="45"/>
                <w:rFonts w:hint="eastAsia"/>
                <w:color w:val="auto"/>
                <w:highlight w:val="none"/>
                <w:lang w:val="en-US" w:eastAsia="zh-CN" w:bidi="ar"/>
              </w:rPr>
              <w:t>40.5</w:t>
            </w:r>
            <w:r>
              <w:rPr>
                <w:rStyle w:val="46"/>
                <w:rFonts w:hint="default"/>
                <w:color w:val="auto"/>
                <w:highlight w:val="none"/>
                <w:lang w:bidi="ar"/>
              </w:rPr>
              <w:t>mm，耐火等级不低于B1级；聚乙烯厚</w:t>
            </w:r>
            <w:r>
              <w:rPr>
                <w:rStyle w:val="45"/>
                <w:rFonts w:hint="eastAsia"/>
                <w:color w:val="auto"/>
                <w:highlight w:val="none"/>
                <w:lang w:val="en-US" w:eastAsia="zh-CN" w:bidi="ar"/>
              </w:rPr>
              <w:t>7</w:t>
            </w:r>
            <w:r>
              <w:rPr>
                <w:rStyle w:val="46"/>
                <w:rFonts w:hint="default"/>
                <w:color w:val="auto"/>
                <w:highlight w:val="none"/>
                <w:lang w:bidi="ar"/>
              </w:rPr>
              <w:t>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highlight w:val="none"/>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highlight w:val="none"/>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val="en-US" w:eastAsia="zh-CN" w:bidi="ar"/>
              </w:rPr>
              <w:t>1500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20</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高密度聚乙烯外护管硬质聚氨酯泡沫塑料预制直埋保温管输送流体用无缝钢管 Ø</w:t>
            </w:r>
            <w:r>
              <w:rPr>
                <w:rFonts w:hint="eastAsia" w:ascii="宋体" w:hAnsi="宋体" w:cs="宋体"/>
                <w:color w:val="auto"/>
                <w:kern w:val="0"/>
                <w:sz w:val="22"/>
                <w:szCs w:val="22"/>
                <w:lang w:val="en-US" w:eastAsia="zh-CN" w:bidi="ar"/>
              </w:rPr>
              <w:t>273</w:t>
            </w:r>
            <w:r>
              <w:rPr>
                <w:rFonts w:hint="eastAsia" w:ascii="宋体" w:hAnsi="宋体" w:cs="宋体"/>
                <w:color w:val="auto"/>
                <w:kern w:val="0"/>
                <w:sz w:val="22"/>
                <w:szCs w:val="22"/>
                <w:lang w:bidi="ar"/>
              </w:rPr>
              <w:t>×</w:t>
            </w:r>
            <w:r>
              <w:rPr>
                <w:rFonts w:hint="eastAsia" w:ascii="宋体" w:hAnsi="宋体" w:cs="宋体"/>
                <w:color w:val="auto"/>
                <w:kern w:val="0"/>
                <w:sz w:val="22"/>
                <w:szCs w:val="22"/>
                <w:lang w:val="en-US" w:eastAsia="zh-CN" w:bidi="ar"/>
              </w:rPr>
              <w:t>7</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GB/T8163-2018；GB/T29047-2021,聚氨酯厚度</w:t>
            </w:r>
            <w:r>
              <w:rPr>
                <w:rStyle w:val="45"/>
                <w:rFonts w:hint="default"/>
                <w:color w:val="auto"/>
                <w:highlight w:val="none"/>
                <w:lang w:bidi="ar"/>
              </w:rPr>
              <w:t>4</w:t>
            </w:r>
            <w:r>
              <w:rPr>
                <w:rStyle w:val="45"/>
                <w:rFonts w:hint="eastAsia"/>
                <w:color w:val="auto"/>
                <w:highlight w:val="none"/>
                <w:lang w:val="en-US" w:eastAsia="zh-CN" w:bidi="ar"/>
              </w:rPr>
              <w:t>0.4</w:t>
            </w:r>
            <w:r>
              <w:rPr>
                <w:rStyle w:val="46"/>
                <w:rFonts w:hint="default"/>
                <w:color w:val="auto"/>
                <w:highlight w:val="none"/>
                <w:lang w:bidi="ar"/>
              </w:rPr>
              <w:t>mm，耐火等级不低于B1级；聚乙烯厚</w:t>
            </w:r>
            <w:r>
              <w:rPr>
                <w:rStyle w:val="45"/>
                <w:rFonts w:hint="eastAsia"/>
                <w:color w:val="auto"/>
                <w:highlight w:val="none"/>
                <w:lang w:val="en-US" w:eastAsia="zh-CN" w:bidi="ar"/>
              </w:rPr>
              <w:t>5.6</w:t>
            </w:r>
            <w:r>
              <w:rPr>
                <w:rStyle w:val="46"/>
                <w:rFonts w:hint="default"/>
                <w:color w:val="auto"/>
                <w:highlight w:val="none"/>
                <w:lang w:bidi="ar"/>
              </w:rPr>
              <w:t>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highlight w:val="none"/>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highlight w:val="none"/>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val="en-US" w:eastAsia="zh-CN" w:bidi="ar"/>
              </w:rPr>
              <w:t>800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21</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高密度聚乙烯外护管硬质聚氨酯泡沫塑料预制直埋保温管输送流体用无缝钢管 Ø219×6</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GB/T8163-2018；GB/T29047-2021,聚氨酯厚度</w:t>
            </w:r>
            <w:r>
              <w:rPr>
                <w:rStyle w:val="45"/>
                <w:rFonts w:hint="default"/>
                <w:color w:val="auto"/>
                <w:lang w:bidi="ar"/>
              </w:rPr>
              <w:t>41.6</w:t>
            </w:r>
            <w:r>
              <w:rPr>
                <w:rStyle w:val="46"/>
                <w:rFonts w:hint="default"/>
                <w:color w:val="auto"/>
                <w:lang w:bidi="ar"/>
              </w:rPr>
              <w:t>mm，耐火等级不低于B1级；聚乙烯厚</w:t>
            </w:r>
            <w:r>
              <w:rPr>
                <w:rStyle w:val="45"/>
                <w:rFonts w:hint="default"/>
                <w:color w:val="auto"/>
                <w:lang w:bidi="ar"/>
              </w:rPr>
              <w:t>3.2</w:t>
            </w:r>
            <w:r>
              <w:rPr>
                <w:rStyle w:val="46"/>
                <w:rFonts w:hint="default"/>
                <w:color w:val="auto"/>
                <w:lang w:bidi="ar"/>
              </w:rPr>
              <w:t>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22</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高密度聚乙烯外护管硬质聚氨酯泡沫塑料预制直埋保温管输送流体用无缝钢管 Ø159×5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GB/T8163-2018；GB/T29047-2021,聚氨酯厚度</w:t>
            </w:r>
            <w:r>
              <w:rPr>
                <w:rStyle w:val="45"/>
                <w:rFonts w:hint="default"/>
                <w:color w:val="auto"/>
                <w:lang w:bidi="ar"/>
              </w:rPr>
              <w:t>41.6</w:t>
            </w:r>
            <w:r>
              <w:rPr>
                <w:rStyle w:val="46"/>
                <w:rFonts w:hint="default"/>
                <w:color w:val="auto"/>
                <w:lang w:bidi="ar"/>
              </w:rPr>
              <w:t>mm，耐火等级不低于B1级；聚乙烯厚</w:t>
            </w:r>
            <w:r>
              <w:rPr>
                <w:rStyle w:val="45"/>
                <w:rFonts w:hint="default"/>
                <w:color w:val="auto"/>
                <w:lang w:bidi="ar"/>
              </w:rPr>
              <w:t>3.2</w:t>
            </w:r>
            <w:r>
              <w:rPr>
                <w:rStyle w:val="46"/>
                <w:rFonts w:hint="default"/>
                <w:color w:val="auto"/>
                <w:lang w:bidi="ar"/>
              </w:rPr>
              <w:t>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1276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23</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高密度聚乙烯外护管硬质聚氨酯泡沫塑料预制直埋保温管输送流体用无缝钢管 Ø133×4.5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GB/T8163-2018；GB/T29047-2021,聚氨酯厚度42.5mm，耐火等级不低于B1级；聚乙烯厚3.5mm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3196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24</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高密度聚乙烯外护管硬质聚氨酯泡沫塑料预制直埋保温管输送流体用无缝钢管 Ø108×4</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GB/T8163-2018；GB/T29047-2021,聚氨酯厚度42.9mm，耐火等级不低于B1级；聚乙烯厚3.2mm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4788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25</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高密度聚乙烯外护管硬质聚氨酯泡沫塑料预制直埋保温管输送流体用无缝钢管 Ø89×4</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2"/>
                <w:szCs w:val="22"/>
                <w:lang w:bidi="ar"/>
              </w:rPr>
              <w:t>GB/T8163-2018；GB/T29047-2021,聚氨酯厚度</w:t>
            </w:r>
            <w:r>
              <w:rPr>
                <w:rStyle w:val="47"/>
                <w:rFonts w:hint="default"/>
                <w:color w:val="auto"/>
                <w:lang w:bidi="ar"/>
              </w:rPr>
              <w:t>32.5mm</w:t>
            </w:r>
            <w:r>
              <w:rPr>
                <w:rFonts w:hint="eastAsia" w:ascii="宋体" w:hAnsi="宋体" w:cs="宋体"/>
                <w:color w:val="auto"/>
                <w:kern w:val="0"/>
                <w:sz w:val="22"/>
                <w:szCs w:val="22"/>
                <w:lang w:bidi="ar"/>
              </w:rPr>
              <w:t>，耐火等级不低于B1级；聚乙烯厚3.2mm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2154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26</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高密度聚乙烯外护管硬质聚氨酯泡沫塑料预制直埋保温管输送流体用无缝钢管 Ø76×4</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2"/>
                <w:szCs w:val="22"/>
                <w:lang w:bidi="ar"/>
              </w:rPr>
              <w:t>GB/T8163-2018；GB/T29047-2021,聚氨酯厚度</w:t>
            </w:r>
            <w:r>
              <w:rPr>
                <w:rStyle w:val="47"/>
                <w:rFonts w:hint="default"/>
                <w:color w:val="auto"/>
                <w:lang w:bidi="ar"/>
              </w:rPr>
              <w:t>29.0mm</w:t>
            </w:r>
            <w:r>
              <w:rPr>
                <w:rFonts w:hint="eastAsia" w:ascii="宋体" w:hAnsi="宋体" w:cs="宋体"/>
                <w:color w:val="auto"/>
                <w:kern w:val="0"/>
                <w:sz w:val="22"/>
                <w:szCs w:val="22"/>
                <w:lang w:bidi="ar"/>
              </w:rPr>
              <w:t>，耐火等级不低于B1级；聚乙烯厚3.2mm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1959</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27</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高密度聚乙烯外护管硬质聚氨酯泡沫塑料预制直埋保温管输送流体用无缝钢管 Ø57×3.5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2"/>
                <w:szCs w:val="22"/>
                <w:lang w:bidi="ar"/>
              </w:rPr>
              <w:t>GB/T8163-2018；GB/T29047-2021,聚氨酯厚度38.5mm，耐火等级不低于B1级；聚乙烯厚3.0mm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848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28</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高密度聚乙烯外护管硬质聚氨酯泡沫塑料预制直埋保温管输送流体用无缝钢管 Ø45×3</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2"/>
                <w:szCs w:val="22"/>
                <w:lang w:bidi="ar"/>
              </w:rPr>
              <w:t>GB/T8163-2018；GB/T29047-2021,聚氨酯厚度30.0mm，耐火等级不低于B1级；聚乙烯厚2.5mm</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29</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高密度聚乙烯外护管硬质聚氨酯泡沫塑料预制直埋保温管输送流体用无缝钢管 Ø32×3</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30</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45° 热压弯头       DN200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31</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45° 热压弯头       DN150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32</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45° 热压弯头       DN125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33</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45° 热压弯头       DN100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34</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45° 热压弯头       DN80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360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35</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45° 热压弯头       DN65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274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36</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45° 热压弯头       DN50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37</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45° 热压弯头       DN25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38</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高密度聚乙烯外护管硬质聚氨酯泡沫塑料预制直埋保温弯头</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39</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90° 热压弯头       DN300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40</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90° 热压弯头       DN250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41</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90° 热压弯头       DN200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222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42</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90° 热压弯头       DN150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394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43</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90° 热压弯头       DN125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538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44</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90° 热压弯头       DN100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45</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90° 热压弯头       DN80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2209</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46</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90° 热压弯头       DN65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1283</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47</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90° 热压弯头       DN50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294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48</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90° 热压弯头       DN40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49</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90° 热压弯头       DN32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50</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90° 热压弯头       DN25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51</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90° 热压弯头       DN20 R=1.5D</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52</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等径三通     DN150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53</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等径三通     DN125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54</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等径三通     DN100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55</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等径三通     DN80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56</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等径三通     DN65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57</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大小头 DN250×150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58</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大小头 DN200×150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59</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大小头 DN150×125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60</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大小头 DN150×100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61</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大小头 DN150×80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62</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大小头 DN125×100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63</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大小头 DN125×80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64</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大小头 DN100×80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65</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大小头 DN100×65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66</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大小头 DN100×40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67</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大小头 DN80×50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auto"/>
                <w:sz w:val="23"/>
                <w:szCs w:val="23"/>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68</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大小头 DN80×65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69</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大小头 DN40×32</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70</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偏心异径接头 DN300×250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71</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偏心异径接头 DN250×200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72</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偏心异径接头 DN200×150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73</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偏心异径接头 DN150×125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74</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偏心异径接头 DN150×100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75</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偏心异径接头 DN150×80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76</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偏心异径接头 DN125×100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77</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偏心异径接头 DN125×80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78</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偏心异径接头 DN100×80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79</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偏心异径接头 DN100×65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80</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偏心异径接头 DN80×65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81</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偏心异径接头 DN80×50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82</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偏心异径接头 DN65×50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83</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偏心异径接头 DN40×32</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84</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等径三通 DN250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85</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等径三通 DN200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86</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等径三通 DN150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87</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等径三通 DN125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88</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等径三通 DN100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89</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等径三通 DN80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90</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等径三通 DN65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91</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等径三通 DN50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92</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DN300×300×125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93</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DN300×300×100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94</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DN300×300×80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95</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DN250×250×200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96</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DN250×250×150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97</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DN250×250×125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98</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DN250×250×100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99</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DN250×250×80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100</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DN250×200×250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101</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DN200×200×150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102</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DN200×200×125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103</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DN200×200×100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104</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DN200×200×80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105</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DN200×200×65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106</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DN200×150×200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107</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DN200×125×200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108</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DN200×100×200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109</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DN150×150×125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110</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DN150×150×100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111</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DN150×150×80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112</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DN150×150×65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113</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DN150×125×150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114</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DN150×100×150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115</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DN150×80×150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116</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DN125×125×100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117</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DN125×125×80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118</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DN125×125×65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119</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DN125×125×32</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120</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DN125×100×125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121</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DN125×65×125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122</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DN100×100×80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123</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DN100×100×65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40</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124</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DN100×32×100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125</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DN100×65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126</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DN80×80×65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127</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DN80×80×40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128</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DN80×80×32</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129</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DN80×65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34</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130</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DN65×65×50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gridAfter w:val="1"/>
          <w:wAfter w:w="19" w:type="dxa"/>
          <w:trHeight w:val="4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2"/>
                <w:szCs w:val="22"/>
              </w:rPr>
            </w:pPr>
            <w:r>
              <w:rPr>
                <w:rFonts w:hint="eastAsia" w:ascii="宋体" w:hAnsi="宋体" w:eastAsia="宋体" w:cs="宋体"/>
                <w:i w:val="0"/>
                <w:color w:val="000000"/>
                <w:kern w:val="0"/>
                <w:sz w:val="22"/>
                <w:szCs w:val="22"/>
                <w:u w:val="none"/>
                <w:lang w:val="en-US" w:eastAsia="zh-CN" w:bidi="ar"/>
              </w:rPr>
              <w:t>131</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异径三通 DN65×40×65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lang w:bidi="ar"/>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6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宋体"/>
                <w:color w:val="auto"/>
                <w:sz w:val="24"/>
                <w:szCs w:val="24"/>
              </w:rPr>
            </w:pPr>
            <w:r>
              <w:rPr>
                <w:rFonts w:hint="eastAsia" w:ascii="宋体" w:hAnsi="宋体" w:eastAsia="宋体" w:cs="宋体"/>
                <w:i w:val="0"/>
                <w:color w:val="000000"/>
                <w:kern w:val="0"/>
                <w:sz w:val="22"/>
                <w:szCs w:val="22"/>
                <w:u w:val="none"/>
                <w:lang w:val="en-US" w:eastAsia="zh-CN" w:bidi="ar"/>
              </w:rPr>
              <w:t>132</w:t>
            </w:r>
          </w:p>
        </w:tc>
        <w:tc>
          <w:tcPr>
            <w:tcW w:w="4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auto"/>
              </w:rPr>
            </w:pPr>
            <w:r>
              <w:rPr>
                <w:rFonts w:hint="eastAsia" w:ascii="宋体" w:hAnsi="宋体" w:cs="宋体"/>
                <w:color w:val="auto"/>
                <w:kern w:val="0"/>
                <w:sz w:val="22"/>
                <w:szCs w:val="22"/>
                <w:lang w:bidi="ar"/>
              </w:rPr>
              <w:t>异径三通 DN40×40×32</w:t>
            </w:r>
          </w:p>
        </w:tc>
        <w:tc>
          <w:tcPr>
            <w:tcW w:w="2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auto"/>
              </w:rPr>
            </w:pPr>
            <w:r>
              <w:rPr>
                <w:rFonts w:hint="eastAsia" w:ascii="宋体" w:hAnsi="宋体" w:cs="宋体"/>
                <w:color w:val="auto"/>
                <w:kern w:val="0"/>
                <w:sz w:val="20"/>
                <w:szCs w:val="20"/>
                <w:lang w:bidi="ar"/>
              </w:rPr>
              <w:t>GB/T13401-2017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auto"/>
              </w:rPr>
            </w:pPr>
            <w:r>
              <w:rPr>
                <w:rFonts w:hint="eastAsia" w:ascii="宋体" w:hAnsi="宋体" w:cs="宋体"/>
                <w:color w:val="auto"/>
                <w:kern w:val="0"/>
                <w:sz w:val="22"/>
                <w:szCs w:val="22"/>
                <w:lang w:bidi="ar"/>
              </w:rPr>
              <w:t>钢20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cs="宋体"/>
                <w:color w:val="auto"/>
                <w:kern w:val="0"/>
                <w:sz w:val="20"/>
                <w:szCs w:val="20"/>
                <w:lang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r>
              <w:rPr>
                <w:rFonts w:hint="eastAsia" w:ascii="宋体" w:hAnsi="宋体" w:cs="宋体"/>
                <w:color w:val="auto"/>
                <w:kern w:val="0"/>
                <w:sz w:val="20"/>
                <w:szCs w:val="20"/>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rPr>
            </w:pPr>
          </w:p>
        </w:tc>
        <w:tc>
          <w:tcPr>
            <w:tcW w:w="116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color w:val="auto"/>
                <w:sz w:val="24"/>
                <w:szCs w:val="24"/>
              </w:rPr>
            </w:pPr>
          </w:p>
        </w:tc>
        <w:tc>
          <w:tcPr>
            <w:tcW w:w="96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color w:val="auto"/>
              </w:rPr>
            </w:pPr>
          </w:p>
        </w:tc>
        <w:tc>
          <w:tcPr>
            <w:tcW w:w="13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color w:val="auto"/>
              </w:rPr>
            </w:pPr>
          </w:p>
        </w:tc>
        <w:tc>
          <w:tcPr>
            <w:tcW w:w="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24"/>
              <w:ind w:firstLine="0" w:firstLineChars="0"/>
              <w:jc w:val="left"/>
              <w:rPr>
                <w:color w:val="auto"/>
              </w:rPr>
            </w:pPr>
          </w:p>
        </w:tc>
      </w:tr>
    </w:tbl>
    <w:p>
      <w:pPr>
        <w:widowControl/>
        <w:spacing w:line="360" w:lineRule="auto"/>
        <w:ind w:hanging="6"/>
        <w:jc w:val="left"/>
        <w:rPr>
          <w:rFonts w:hint="eastAsia" w:ascii="宋体" w:hAnsi="宋体"/>
          <w:b/>
          <w:color w:val="auto"/>
          <w:sz w:val="18"/>
          <w:szCs w:val="18"/>
        </w:rPr>
      </w:pPr>
    </w:p>
    <w:p>
      <w:pPr>
        <w:widowControl/>
        <w:spacing w:line="360" w:lineRule="auto"/>
        <w:ind w:hanging="6"/>
        <w:jc w:val="left"/>
        <w:rPr>
          <w:rFonts w:ascii="宋体" w:hAnsi="宋体"/>
          <w:b/>
          <w:color w:val="auto"/>
          <w:sz w:val="18"/>
          <w:szCs w:val="18"/>
        </w:rPr>
      </w:pPr>
      <w:r>
        <w:rPr>
          <w:rFonts w:hint="eastAsia" w:ascii="宋体" w:hAnsi="宋体"/>
          <w:b/>
          <w:color w:val="auto"/>
          <w:sz w:val="18"/>
          <w:szCs w:val="18"/>
        </w:rPr>
        <w:t>注：报价明细表中的材料名称、规格型号、材质、质量标准、单位、数量等必须与</w:t>
      </w:r>
      <w:r>
        <w:rPr>
          <w:rFonts w:hint="eastAsia" w:ascii="宋体" w:hAnsi="宋体"/>
          <w:b/>
          <w:color w:val="auto"/>
          <w:sz w:val="18"/>
          <w:szCs w:val="18"/>
          <w:lang w:val="en-US" w:eastAsia="zh-CN"/>
        </w:rPr>
        <w:t>比选</w:t>
      </w:r>
      <w:r>
        <w:rPr>
          <w:rFonts w:hint="eastAsia" w:ascii="宋体" w:hAnsi="宋体"/>
          <w:b/>
          <w:color w:val="auto"/>
          <w:sz w:val="18"/>
          <w:szCs w:val="18"/>
        </w:rPr>
        <w:t xml:space="preserve">文件中材料采购清单一致，否则招标方有权将其视为废标。 </w:t>
      </w:r>
    </w:p>
    <w:p>
      <w:pPr>
        <w:widowControl/>
        <w:spacing w:line="360" w:lineRule="auto"/>
        <w:ind w:left="5027" w:hanging="5027" w:hangingChars="2782"/>
        <w:jc w:val="left"/>
        <w:rPr>
          <w:rFonts w:ascii="宋体" w:hAnsi="宋体"/>
          <w:b/>
          <w:color w:val="auto"/>
          <w:sz w:val="18"/>
          <w:szCs w:val="18"/>
          <w:u w:val="single"/>
        </w:rPr>
      </w:pPr>
      <w:r>
        <w:rPr>
          <w:rFonts w:hint="eastAsia" w:ascii="宋体" w:hAnsi="宋体"/>
          <w:b/>
          <w:color w:val="auto"/>
          <w:sz w:val="18"/>
          <w:szCs w:val="18"/>
          <w:lang w:eastAsia="zh-CN"/>
        </w:rPr>
        <w:t>响应人</w:t>
      </w:r>
      <w:r>
        <w:rPr>
          <w:rFonts w:hint="eastAsia" w:ascii="宋体" w:hAnsi="宋体"/>
          <w:b/>
          <w:color w:val="auto"/>
          <w:sz w:val="18"/>
          <w:szCs w:val="18"/>
        </w:rPr>
        <w:t>全称（盖章）</w:t>
      </w:r>
      <w:r>
        <w:rPr>
          <w:rFonts w:hint="eastAsia" w:ascii="宋体" w:hAnsi="宋体"/>
          <w:b/>
          <w:color w:val="auto"/>
          <w:sz w:val="18"/>
          <w:szCs w:val="18"/>
          <w:u w:val="single"/>
        </w:rPr>
        <w:t xml:space="preserve">：                   </w:t>
      </w:r>
      <w:r>
        <w:rPr>
          <w:rFonts w:hint="eastAsia" w:ascii="宋体" w:hAnsi="宋体"/>
          <w:b/>
          <w:color w:val="auto"/>
          <w:sz w:val="18"/>
          <w:szCs w:val="18"/>
        </w:rPr>
        <w:t xml:space="preserve">                              法人或授权委托人签字或盖章</w:t>
      </w:r>
      <w:r>
        <w:rPr>
          <w:rFonts w:hint="eastAsia" w:ascii="宋体" w:hAnsi="宋体"/>
          <w:b/>
          <w:color w:val="auto"/>
          <w:sz w:val="18"/>
          <w:szCs w:val="18"/>
          <w:u w:val="single"/>
        </w:rPr>
        <w:t xml:space="preserve">：              </w:t>
      </w:r>
    </w:p>
    <w:p>
      <w:pPr>
        <w:widowControl/>
        <w:spacing w:line="360" w:lineRule="auto"/>
        <w:ind w:left="5027" w:hanging="5027" w:hangingChars="2782"/>
        <w:jc w:val="left"/>
        <w:rPr>
          <w:rFonts w:hint="eastAsia" w:eastAsia="宋体"/>
          <w:color w:val="auto"/>
          <w:sz w:val="18"/>
          <w:szCs w:val="21"/>
          <w:u w:val="single"/>
          <w:lang w:eastAsia="zh-CN"/>
        </w:rPr>
        <w:sectPr>
          <w:pgSz w:w="16838" w:h="11906" w:orient="landscape"/>
          <w:pgMar w:top="1797" w:right="1380" w:bottom="1558" w:left="1440" w:header="851" w:footer="666"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b/>
          <w:color w:val="auto"/>
          <w:sz w:val="18"/>
          <w:szCs w:val="18"/>
        </w:rPr>
        <w:t>电话：</w:t>
      </w:r>
      <w:r>
        <w:rPr>
          <w:rFonts w:hint="eastAsia" w:ascii="宋体" w:hAnsi="宋体"/>
          <w:b/>
          <w:color w:val="auto"/>
          <w:sz w:val="18"/>
          <w:szCs w:val="18"/>
          <w:u w:val="single"/>
        </w:rPr>
        <w:t xml:space="preserve">             </w:t>
      </w:r>
      <w:r>
        <w:rPr>
          <w:rFonts w:hint="eastAsia" w:ascii="宋体" w:hAnsi="宋体"/>
          <w:b/>
          <w:color w:val="auto"/>
          <w:sz w:val="18"/>
          <w:szCs w:val="18"/>
        </w:rPr>
        <w:t xml:space="preserve">                                                  日 期</w:t>
      </w:r>
      <w:r>
        <w:rPr>
          <w:rFonts w:hint="eastAsia" w:ascii="宋体" w:hAnsi="宋体"/>
          <w:b/>
          <w:color w:val="auto"/>
          <w:sz w:val="18"/>
          <w:szCs w:val="18"/>
          <w:u w:val="single"/>
        </w:rPr>
        <w:t xml:space="preserve">：               </w:t>
      </w:r>
    </w:p>
    <w:p>
      <w:pPr>
        <w:rPr>
          <w:rFonts w:ascii="宋体" w:hAnsi="宋体"/>
          <w:b/>
          <w:color w:val="auto"/>
          <w:kern w:val="44"/>
          <w:sz w:val="32"/>
          <w:szCs w:val="32"/>
        </w:rPr>
      </w:pPr>
    </w:p>
    <w:p>
      <w:pPr>
        <w:pStyle w:val="23"/>
        <w:ind w:firstLine="321"/>
        <w:rPr>
          <w:rFonts w:ascii="宋体" w:hAnsi="宋体"/>
          <w:b/>
          <w:bCs w:val="0"/>
          <w:color w:val="auto"/>
          <w:kern w:val="44"/>
          <w:sz w:val="32"/>
          <w:szCs w:val="32"/>
        </w:rPr>
      </w:pPr>
      <w:r>
        <w:rPr>
          <w:rFonts w:hint="eastAsia" w:ascii="宋体" w:hAnsi="宋体"/>
          <w:b/>
          <w:bCs w:val="0"/>
          <w:color w:val="auto"/>
          <w:kern w:val="44"/>
          <w:sz w:val="32"/>
          <w:szCs w:val="32"/>
        </w:rPr>
        <w:t>七、企业业绩及运营情况（响应人选填）</w:t>
      </w:r>
    </w:p>
    <w:bookmarkEnd w:id="141"/>
    <w:bookmarkEnd w:id="142"/>
    <w:bookmarkEnd w:id="143"/>
    <w:bookmarkEnd w:id="144"/>
    <w:bookmarkEnd w:id="145"/>
    <w:bookmarkEnd w:id="146"/>
    <w:bookmarkEnd w:id="147"/>
    <w:bookmarkEnd w:id="148"/>
    <w:bookmarkEnd w:id="149"/>
    <w:p>
      <w:pPr>
        <w:pStyle w:val="6"/>
        <w:spacing w:before="0" w:after="0" w:line="360" w:lineRule="auto"/>
        <w:ind w:firstLine="0" w:firstLineChars="0"/>
        <w:rPr>
          <w:rFonts w:ascii="宋体" w:eastAsia="宋体"/>
          <w:color w:val="auto"/>
          <w:sz w:val="24"/>
          <w:szCs w:val="24"/>
        </w:rPr>
      </w:pPr>
      <w:bookmarkStart w:id="150" w:name="_Toc265953296"/>
      <w:bookmarkStart w:id="151" w:name="_Toc144974878"/>
      <w:bookmarkStart w:id="152" w:name="_Toc152045810"/>
      <w:bookmarkStart w:id="153" w:name="_Toc35431733"/>
      <w:bookmarkStart w:id="154" w:name="_Toc247527850"/>
      <w:bookmarkStart w:id="155" w:name="_Toc152042599"/>
      <w:bookmarkStart w:id="156" w:name="_Toc247514302"/>
      <w:r>
        <w:rPr>
          <w:rFonts w:ascii="宋体" w:eastAsia="宋体"/>
          <w:color w:val="auto"/>
          <w:sz w:val="24"/>
          <w:szCs w:val="24"/>
        </w:rPr>
        <w:t>（</w:t>
      </w:r>
      <w:r>
        <w:rPr>
          <w:rFonts w:hint="eastAsia" w:ascii="宋体" w:eastAsia="宋体"/>
          <w:color w:val="auto"/>
          <w:sz w:val="24"/>
          <w:szCs w:val="24"/>
        </w:rPr>
        <w:t>一</w:t>
      </w:r>
      <w:r>
        <w:rPr>
          <w:rFonts w:ascii="宋体" w:eastAsia="宋体"/>
          <w:color w:val="auto"/>
          <w:sz w:val="24"/>
          <w:szCs w:val="24"/>
        </w:rPr>
        <w:t>）近年完成的类似项目情况表</w:t>
      </w:r>
      <w:bookmarkEnd w:id="150"/>
      <w:bookmarkEnd w:id="151"/>
      <w:bookmarkEnd w:id="152"/>
      <w:bookmarkEnd w:id="153"/>
      <w:bookmarkEnd w:id="154"/>
      <w:bookmarkEnd w:id="155"/>
      <w:bookmarkEnd w:id="156"/>
    </w:p>
    <w:tbl>
      <w:tblPr>
        <w:tblStyle w:val="25"/>
        <w:tblW w:w="8521" w:type="dxa"/>
        <w:tblInd w:w="160"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9" w:line="150" w:lineRule="exact"/>
              <w:rPr>
                <w:rFonts w:ascii="宋体"/>
                <w:color w:val="auto"/>
                <w:sz w:val="15"/>
                <w:szCs w:val="15"/>
              </w:rPr>
            </w:pPr>
          </w:p>
          <w:p>
            <w:pPr>
              <w:pStyle w:val="40"/>
              <w:kinsoku w:val="0"/>
              <w:overflowPunct w:val="0"/>
              <w:ind w:left="706"/>
              <w:rPr>
                <w:rFonts w:ascii="宋体"/>
                <w:color w:val="auto"/>
              </w:rPr>
            </w:pPr>
            <w:r>
              <w:rPr>
                <w:rFonts w:hint="eastAsia" w:ascii="宋体" w:cs="Microsoft JhengHei"/>
                <w:color w:val="auto"/>
                <w:szCs w:val="21"/>
              </w:rPr>
              <w:t>材料</w:t>
            </w:r>
            <w:r>
              <w:rPr>
                <w:rFonts w:hint="eastAsia" w:ascii="宋体" w:cs="Microsoft JhengHei"/>
                <w:color w:val="auto"/>
                <w:spacing w:val="-3"/>
                <w:szCs w:val="21"/>
              </w:rPr>
              <w:t>名</w:t>
            </w:r>
            <w:r>
              <w:rPr>
                <w:rFonts w:hint="eastAsia" w:ascii="宋体" w:cs="Microsoft JhengHei"/>
                <w:color w:val="auto"/>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color w:val="auto"/>
              </w:rPr>
            </w:pPr>
          </w:p>
        </w:tc>
      </w:tr>
      <w:tr>
        <w:tblPrEx>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8" w:line="120" w:lineRule="exact"/>
              <w:rPr>
                <w:rFonts w:ascii="宋体"/>
                <w:color w:val="auto"/>
                <w:sz w:val="12"/>
                <w:szCs w:val="12"/>
              </w:rPr>
            </w:pPr>
          </w:p>
          <w:p>
            <w:pPr>
              <w:pStyle w:val="40"/>
              <w:kinsoku w:val="0"/>
              <w:overflowPunct w:val="0"/>
              <w:ind w:left="601"/>
              <w:rPr>
                <w:rFonts w:ascii="宋体"/>
                <w:color w:val="auto"/>
              </w:rPr>
            </w:pPr>
            <w:r>
              <w:rPr>
                <w:rFonts w:hint="eastAsia" w:ascii="宋体" w:cs="Microsoft JhengHei"/>
                <w:color w:val="auto"/>
                <w:szCs w:val="21"/>
              </w:rPr>
              <w:t>规格</w:t>
            </w:r>
            <w:r>
              <w:rPr>
                <w:rFonts w:hint="eastAsia" w:ascii="宋体" w:cs="Microsoft JhengHei"/>
                <w:color w:val="auto"/>
                <w:spacing w:val="-3"/>
                <w:szCs w:val="21"/>
              </w:rPr>
              <w:t>和</w:t>
            </w:r>
            <w:r>
              <w:rPr>
                <w:rFonts w:hint="eastAsia" w:ascii="宋体" w:cs="Microsoft JhengHei"/>
                <w:color w:val="auto"/>
                <w:szCs w:val="21"/>
              </w:rPr>
              <w:t>型号</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color w:val="auto"/>
              </w:rPr>
            </w:pPr>
          </w:p>
        </w:tc>
      </w:tr>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line="130" w:lineRule="exact"/>
              <w:rPr>
                <w:rFonts w:ascii="宋体"/>
                <w:color w:val="auto"/>
                <w:sz w:val="13"/>
                <w:szCs w:val="13"/>
              </w:rPr>
            </w:pPr>
          </w:p>
          <w:p>
            <w:pPr>
              <w:pStyle w:val="40"/>
              <w:kinsoku w:val="0"/>
              <w:overflowPunct w:val="0"/>
              <w:ind w:left="706"/>
              <w:rPr>
                <w:rFonts w:ascii="宋体"/>
                <w:color w:val="auto"/>
              </w:rPr>
            </w:pPr>
            <w:r>
              <w:rPr>
                <w:rFonts w:hint="eastAsia" w:ascii="宋体" w:cs="Microsoft JhengHei"/>
                <w:color w:val="auto"/>
                <w:szCs w:val="21"/>
              </w:rPr>
              <w:t>项目</w:t>
            </w:r>
            <w:r>
              <w:rPr>
                <w:rFonts w:hint="eastAsia" w:ascii="宋体" w:cs="Microsoft JhengHei"/>
                <w:color w:val="auto"/>
                <w:spacing w:val="-3"/>
                <w:szCs w:val="21"/>
              </w:rPr>
              <w:t>名</w:t>
            </w:r>
            <w:r>
              <w:rPr>
                <w:rFonts w:hint="eastAsia" w:ascii="宋体" w:cs="Microsoft JhengHei"/>
                <w:color w:val="auto"/>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color w:val="auto"/>
              </w:rPr>
            </w:pPr>
          </w:p>
        </w:tc>
      </w:tr>
      <w:tr>
        <w:tblPrEx>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9" w:line="120" w:lineRule="exact"/>
              <w:rPr>
                <w:rFonts w:ascii="宋体"/>
                <w:color w:val="auto"/>
                <w:sz w:val="12"/>
                <w:szCs w:val="12"/>
              </w:rPr>
            </w:pPr>
          </w:p>
          <w:p>
            <w:pPr>
              <w:pStyle w:val="40"/>
              <w:kinsoku w:val="0"/>
              <w:overflowPunct w:val="0"/>
              <w:ind w:left="706"/>
              <w:rPr>
                <w:rFonts w:ascii="宋体"/>
                <w:color w:val="auto"/>
              </w:rPr>
            </w:pPr>
            <w:r>
              <w:rPr>
                <w:rFonts w:hint="eastAsia" w:ascii="宋体" w:cs="Microsoft JhengHei"/>
                <w:color w:val="auto"/>
                <w:szCs w:val="21"/>
              </w:rPr>
              <w:t>买方</w:t>
            </w:r>
            <w:r>
              <w:rPr>
                <w:rFonts w:hint="eastAsia" w:ascii="宋体" w:cs="Microsoft JhengHei"/>
                <w:color w:val="auto"/>
                <w:spacing w:val="-3"/>
                <w:szCs w:val="21"/>
              </w:rPr>
              <w:t>名</w:t>
            </w:r>
            <w:r>
              <w:rPr>
                <w:rFonts w:hint="eastAsia" w:ascii="宋体" w:cs="Microsoft JhengHei"/>
                <w:color w:val="auto"/>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color w:val="auto"/>
              </w:rPr>
            </w:pPr>
          </w:p>
        </w:tc>
      </w:tr>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line="130" w:lineRule="exact"/>
              <w:rPr>
                <w:rFonts w:ascii="宋体"/>
                <w:color w:val="auto"/>
                <w:sz w:val="13"/>
                <w:szCs w:val="13"/>
              </w:rPr>
            </w:pPr>
          </w:p>
          <w:p>
            <w:pPr>
              <w:pStyle w:val="40"/>
              <w:kinsoku w:val="0"/>
              <w:overflowPunct w:val="0"/>
              <w:ind w:left="286"/>
              <w:rPr>
                <w:rFonts w:ascii="宋体"/>
                <w:color w:val="auto"/>
              </w:rPr>
            </w:pPr>
            <w:r>
              <w:rPr>
                <w:rFonts w:hint="eastAsia" w:ascii="宋体" w:cs="Microsoft JhengHei"/>
                <w:color w:val="auto"/>
                <w:szCs w:val="21"/>
              </w:rPr>
              <w:t>买方</w:t>
            </w:r>
            <w:r>
              <w:rPr>
                <w:rFonts w:hint="eastAsia" w:ascii="宋体" w:cs="Microsoft JhengHei"/>
                <w:color w:val="auto"/>
                <w:spacing w:val="-3"/>
                <w:szCs w:val="21"/>
              </w:rPr>
              <w:t>联</w:t>
            </w:r>
            <w:r>
              <w:rPr>
                <w:rFonts w:hint="eastAsia" w:ascii="宋体" w:cs="Microsoft JhengHei"/>
                <w:color w:val="auto"/>
                <w:szCs w:val="21"/>
              </w:rPr>
              <w:t>系</w:t>
            </w:r>
            <w:r>
              <w:rPr>
                <w:rFonts w:hint="eastAsia" w:ascii="宋体" w:cs="Microsoft JhengHei"/>
                <w:color w:val="auto"/>
                <w:spacing w:val="-3"/>
                <w:szCs w:val="21"/>
              </w:rPr>
              <w:t>人</w:t>
            </w:r>
            <w:r>
              <w:rPr>
                <w:rFonts w:hint="eastAsia" w:ascii="宋体" w:cs="Microsoft JhengHei"/>
                <w:color w:val="auto"/>
                <w:szCs w:val="21"/>
              </w:rPr>
              <w:t>及</w:t>
            </w:r>
            <w:r>
              <w:rPr>
                <w:rFonts w:hint="eastAsia" w:ascii="宋体" w:cs="Microsoft JhengHei"/>
                <w:color w:val="auto"/>
                <w:spacing w:val="-3"/>
                <w:szCs w:val="21"/>
              </w:rPr>
              <w:t>电</w:t>
            </w:r>
            <w:r>
              <w:rPr>
                <w:rFonts w:hint="eastAsia" w:ascii="宋体" w:cs="Microsoft JhengHei"/>
                <w:color w:val="auto"/>
                <w:szCs w:val="21"/>
              </w:rPr>
              <w:t>话</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color w:val="auto"/>
              </w:rPr>
            </w:pPr>
          </w:p>
        </w:tc>
      </w:tr>
      <w:tr>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line="130" w:lineRule="exact"/>
              <w:rPr>
                <w:rFonts w:ascii="宋体"/>
                <w:color w:val="auto"/>
                <w:sz w:val="13"/>
                <w:szCs w:val="13"/>
              </w:rPr>
            </w:pPr>
          </w:p>
          <w:p>
            <w:pPr>
              <w:pStyle w:val="40"/>
              <w:kinsoku w:val="0"/>
              <w:overflowPunct w:val="0"/>
              <w:ind w:left="706"/>
              <w:rPr>
                <w:rFonts w:ascii="宋体"/>
                <w:color w:val="auto"/>
              </w:rPr>
            </w:pPr>
            <w:r>
              <w:rPr>
                <w:rFonts w:hint="eastAsia" w:ascii="宋体" w:cs="Microsoft JhengHei"/>
                <w:color w:val="auto"/>
                <w:szCs w:val="21"/>
              </w:rPr>
              <w:t>合同</w:t>
            </w:r>
            <w:r>
              <w:rPr>
                <w:rFonts w:hint="eastAsia" w:ascii="宋体" w:cs="Microsoft JhengHei"/>
                <w:color w:val="auto"/>
                <w:spacing w:val="-3"/>
                <w:szCs w:val="21"/>
              </w:rPr>
              <w:t>价</w:t>
            </w:r>
            <w:r>
              <w:rPr>
                <w:rFonts w:hint="eastAsia" w:ascii="宋体" w:cs="Microsoft JhengHei"/>
                <w:color w:val="auto"/>
                <w:szCs w:val="21"/>
              </w:rPr>
              <w:t>格</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color w:val="auto"/>
              </w:rPr>
            </w:pPr>
          </w:p>
        </w:tc>
      </w:tr>
      <w:tr>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0"/>
              <w:kinsoku w:val="0"/>
              <w:overflowPunct w:val="0"/>
              <w:spacing w:before="4" w:line="140" w:lineRule="exact"/>
              <w:jc w:val="center"/>
              <w:rPr>
                <w:rFonts w:ascii="宋体"/>
                <w:color w:val="auto"/>
                <w:sz w:val="14"/>
                <w:szCs w:val="14"/>
              </w:rPr>
            </w:pPr>
          </w:p>
          <w:p>
            <w:pPr>
              <w:pStyle w:val="40"/>
              <w:kinsoku w:val="0"/>
              <w:overflowPunct w:val="0"/>
              <w:spacing w:line="293" w:lineRule="auto"/>
              <w:jc w:val="center"/>
              <w:rPr>
                <w:rFonts w:ascii="宋体"/>
                <w:color w:val="auto"/>
              </w:rPr>
            </w:pPr>
            <w:r>
              <w:rPr>
                <w:rFonts w:hint="eastAsia" w:ascii="宋体" w:cs="Microsoft JhengHei"/>
                <w:color w:val="auto"/>
                <w:szCs w:val="21"/>
              </w:rPr>
              <w:t>项目</w:t>
            </w:r>
            <w:r>
              <w:rPr>
                <w:rFonts w:hint="eastAsia" w:ascii="宋体" w:cs="Microsoft JhengHei"/>
                <w:color w:val="auto"/>
                <w:spacing w:val="-3"/>
                <w:szCs w:val="21"/>
              </w:rPr>
              <w:t>概</w:t>
            </w:r>
            <w:r>
              <w:rPr>
                <w:rFonts w:hint="eastAsia" w:ascii="宋体" w:cs="Microsoft JhengHei"/>
                <w:color w:val="auto"/>
                <w:szCs w:val="21"/>
              </w:rPr>
              <w:t>况</w:t>
            </w:r>
            <w:r>
              <w:rPr>
                <w:rFonts w:hint="eastAsia" w:ascii="宋体" w:cs="Microsoft JhengHei"/>
                <w:color w:val="auto"/>
                <w:spacing w:val="-3"/>
                <w:szCs w:val="21"/>
              </w:rPr>
              <w:t>及</w:t>
            </w:r>
            <w:r>
              <w:rPr>
                <w:rFonts w:hint="eastAsia" w:ascii="宋体" w:cs="Microsoft JhengHei"/>
                <w:color w:val="auto"/>
                <w:szCs w:val="21"/>
              </w:rPr>
              <w:t>申请人履约情况</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color w:val="auto"/>
              </w:rPr>
            </w:pPr>
          </w:p>
        </w:tc>
      </w:tr>
      <w:tr>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8" w:line="130" w:lineRule="exact"/>
              <w:rPr>
                <w:rFonts w:ascii="宋体"/>
                <w:color w:val="auto"/>
                <w:sz w:val="13"/>
                <w:szCs w:val="13"/>
              </w:rPr>
            </w:pPr>
          </w:p>
          <w:p>
            <w:pPr>
              <w:pStyle w:val="40"/>
              <w:kinsoku w:val="0"/>
              <w:overflowPunct w:val="0"/>
              <w:ind w:left="899" w:right="898"/>
              <w:jc w:val="center"/>
              <w:rPr>
                <w:rFonts w:ascii="宋体"/>
                <w:color w:val="auto"/>
              </w:rPr>
            </w:pPr>
            <w:r>
              <w:rPr>
                <w:rFonts w:hint="eastAsia" w:ascii="宋体" w:cs="Microsoft JhengHei"/>
                <w:color w:val="auto"/>
                <w:szCs w:val="21"/>
              </w:rPr>
              <w:t>备注</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color w:val="auto"/>
              </w:rPr>
            </w:pPr>
          </w:p>
        </w:tc>
      </w:tr>
    </w:tbl>
    <w:p>
      <w:pPr>
        <w:pStyle w:val="2"/>
        <w:kinsoku w:val="0"/>
        <w:overflowPunct w:val="0"/>
        <w:spacing w:after="0" w:line="360" w:lineRule="auto"/>
        <w:rPr>
          <w:rFonts w:ascii="宋体"/>
          <w:color w:val="auto"/>
        </w:rPr>
      </w:pPr>
    </w:p>
    <w:p>
      <w:pPr>
        <w:pStyle w:val="2"/>
        <w:kinsoku w:val="0"/>
        <w:overflowPunct w:val="0"/>
        <w:spacing w:after="0" w:line="360" w:lineRule="auto"/>
        <w:rPr>
          <w:rFonts w:ascii="宋体"/>
          <w:color w:val="auto"/>
        </w:rPr>
      </w:pPr>
      <w:r>
        <w:rPr>
          <w:rFonts w:ascii="宋体"/>
          <w:color w:val="auto"/>
        </w:rPr>
        <w:t>注：</w:t>
      </w:r>
      <w:r>
        <w:rPr>
          <w:rFonts w:hint="eastAsia" w:ascii="宋体"/>
          <w:color w:val="auto"/>
        </w:rPr>
        <w:t>后附2019年1月1日至今已完成的类似业绩合同协议书复印件。</w:t>
      </w:r>
      <w:r>
        <w:rPr>
          <w:rFonts w:hint="eastAsia"/>
          <w:color w:val="auto"/>
        </w:rPr>
        <w:t>每张表格只填写一个项目，并标明序号。</w:t>
      </w:r>
    </w:p>
    <w:p>
      <w:pPr>
        <w:rPr>
          <w:rFonts w:ascii="宋体"/>
          <w:color w:val="auto"/>
        </w:rPr>
      </w:pPr>
      <w:r>
        <w:rPr>
          <w:rFonts w:hint="eastAsia" w:ascii="宋体"/>
          <w:color w:val="auto"/>
        </w:rPr>
        <w:br w:type="page"/>
      </w:r>
    </w:p>
    <w:p>
      <w:pPr>
        <w:pStyle w:val="6"/>
        <w:spacing w:before="0" w:after="0" w:line="360" w:lineRule="auto"/>
        <w:ind w:firstLine="0" w:firstLineChars="0"/>
        <w:rPr>
          <w:rFonts w:ascii="宋体" w:eastAsia="宋体"/>
          <w:color w:val="auto"/>
          <w:sz w:val="24"/>
          <w:szCs w:val="24"/>
        </w:rPr>
      </w:pPr>
      <w:bookmarkStart w:id="157" w:name="_Toc35431734"/>
      <w:bookmarkStart w:id="158" w:name="_Toc247514303"/>
      <w:bookmarkStart w:id="159" w:name="_Toc152045811"/>
      <w:bookmarkStart w:id="160" w:name="_Toc265953297"/>
      <w:bookmarkStart w:id="161" w:name="_Toc152042600"/>
      <w:bookmarkStart w:id="162" w:name="_Toc144974879"/>
      <w:bookmarkStart w:id="163" w:name="_Toc247527851"/>
      <w:r>
        <w:rPr>
          <w:rFonts w:ascii="宋体" w:eastAsia="宋体"/>
          <w:color w:val="auto"/>
          <w:sz w:val="24"/>
          <w:szCs w:val="24"/>
        </w:rPr>
        <w:t>（</w:t>
      </w:r>
      <w:r>
        <w:rPr>
          <w:rFonts w:hint="eastAsia" w:ascii="宋体" w:eastAsia="宋体"/>
          <w:color w:val="auto"/>
          <w:sz w:val="24"/>
          <w:szCs w:val="24"/>
        </w:rPr>
        <w:t>二</w:t>
      </w:r>
      <w:r>
        <w:rPr>
          <w:rFonts w:ascii="宋体" w:eastAsia="宋体"/>
          <w:color w:val="auto"/>
          <w:sz w:val="24"/>
          <w:szCs w:val="24"/>
        </w:rPr>
        <w:t>）正在</w:t>
      </w:r>
      <w:r>
        <w:rPr>
          <w:rFonts w:hint="eastAsia" w:ascii="宋体" w:eastAsia="宋体"/>
          <w:color w:val="auto"/>
          <w:sz w:val="24"/>
          <w:szCs w:val="24"/>
        </w:rPr>
        <w:t>供货</w:t>
      </w:r>
      <w:r>
        <w:rPr>
          <w:rFonts w:ascii="宋体" w:eastAsia="宋体"/>
          <w:color w:val="auto"/>
          <w:sz w:val="24"/>
          <w:szCs w:val="24"/>
        </w:rPr>
        <w:t>的和新承接的项目情况表</w:t>
      </w:r>
      <w:bookmarkEnd w:id="157"/>
      <w:bookmarkEnd w:id="158"/>
      <w:bookmarkEnd w:id="159"/>
      <w:bookmarkEnd w:id="160"/>
      <w:bookmarkEnd w:id="161"/>
      <w:bookmarkEnd w:id="162"/>
      <w:bookmarkEnd w:id="163"/>
    </w:p>
    <w:tbl>
      <w:tblPr>
        <w:tblStyle w:val="25"/>
        <w:tblW w:w="8521" w:type="dxa"/>
        <w:tblInd w:w="160"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9" w:line="150" w:lineRule="exact"/>
              <w:rPr>
                <w:rFonts w:ascii="宋体"/>
                <w:color w:val="auto"/>
                <w:sz w:val="15"/>
                <w:szCs w:val="15"/>
              </w:rPr>
            </w:pPr>
          </w:p>
          <w:p>
            <w:pPr>
              <w:pStyle w:val="40"/>
              <w:kinsoku w:val="0"/>
              <w:overflowPunct w:val="0"/>
              <w:ind w:left="706"/>
              <w:rPr>
                <w:rFonts w:ascii="宋体"/>
                <w:color w:val="auto"/>
              </w:rPr>
            </w:pPr>
            <w:r>
              <w:rPr>
                <w:rFonts w:hint="eastAsia" w:ascii="宋体" w:cs="Microsoft JhengHei"/>
                <w:color w:val="auto"/>
                <w:szCs w:val="21"/>
              </w:rPr>
              <w:t>材料</w:t>
            </w:r>
            <w:r>
              <w:rPr>
                <w:rFonts w:hint="eastAsia" w:ascii="宋体" w:cs="Microsoft JhengHei"/>
                <w:color w:val="auto"/>
                <w:spacing w:val="-3"/>
                <w:szCs w:val="21"/>
              </w:rPr>
              <w:t>名</w:t>
            </w:r>
            <w:r>
              <w:rPr>
                <w:rFonts w:hint="eastAsia" w:ascii="宋体" w:cs="Microsoft JhengHei"/>
                <w:color w:val="auto"/>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color w:val="auto"/>
              </w:rPr>
            </w:pPr>
          </w:p>
        </w:tc>
      </w:tr>
      <w:tr>
        <w:tblPrEx>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8" w:line="120" w:lineRule="exact"/>
              <w:rPr>
                <w:rFonts w:ascii="宋体"/>
                <w:color w:val="auto"/>
                <w:sz w:val="12"/>
                <w:szCs w:val="12"/>
              </w:rPr>
            </w:pPr>
          </w:p>
          <w:p>
            <w:pPr>
              <w:pStyle w:val="40"/>
              <w:kinsoku w:val="0"/>
              <w:overflowPunct w:val="0"/>
              <w:ind w:left="601"/>
              <w:rPr>
                <w:rFonts w:ascii="宋体"/>
                <w:color w:val="auto"/>
              </w:rPr>
            </w:pPr>
            <w:r>
              <w:rPr>
                <w:rFonts w:hint="eastAsia" w:ascii="宋体" w:cs="Microsoft JhengHei"/>
                <w:color w:val="auto"/>
                <w:szCs w:val="21"/>
              </w:rPr>
              <w:t>规格</w:t>
            </w:r>
            <w:r>
              <w:rPr>
                <w:rFonts w:hint="eastAsia" w:ascii="宋体" w:cs="Microsoft JhengHei"/>
                <w:color w:val="auto"/>
                <w:spacing w:val="-3"/>
                <w:szCs w:val="21"/>
              </w:rPr>
              <w:t>和</w:t>
            </w:r>
            <w:r>
              <w:rPr>
                <w:rFonts w:hint="eastAsia" w:ascii="宋体" w:cs="Microsoft JhengHei"/>
                <w:color w:val="auto"/>
                <w:szCs w:val="21"/>
              </w:rPr>
              <w:t>型号</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color w:val="auto"/>
              </w:rPr>
            </w:pPr>
          </w:p>
        </w:tc>
      </w:tr>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line="130" w:lineRule="exact"/>
              <w:rPr>
                <w:rFonts w:ascii="宋体"/>
                <w:color w:val="auto"/>
                <w:sz w:val="13"/>
                <w:szCs w:val="13"/>
              </w:rPr>
            </w:pPr>
          </w:p>
          <w:p>
            <w:pPr>
              <w:pStyle w:val="40"/>
              <w:kinsoku w:val="0"/>
              <w:overflowPunct w:val="0"/>
              <w:ind w:left="706"/>
              <w:rPr>
                <w:rFonts w:ascii="宋体"/>
                <w:color w:val="auto"/>
              </w:rPr>
            </w:pPr>
            <w:r>
              <w:rPr>
                <w:rFonts w:hint="eastAsia" w:ascii="宋体" w:cs="Microsoft JhengHei"/>
                <w:color w:val="auto"/>
                <w:szCs w:val="21"/>
              </w:rPr>
              <w:t>项目</w:t>
            </w:r>
            <w:r>
              <w:rPr>
                <w:rFonts w:hint="eastAsia" w:ascii="宋体" w:cs="Microsoft JhengHei"/>
                <w:color w:val="auto"/>
                <w:spacing w:val="-3"/>
                <w:szCs w:val="21"/>
              </w:rPr>
              <w:t>名</w:t>
            </w:r>
            <w:r>
              <w:rPr>
                <w:rFonts w:hint="eastAsia" w:ascii="宋体" w:cs="Microsoft JhengHei"/>
                <w:color w:val="auto"/>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color w:val="auto"/>
              </w:rPr>
            </w:pPr>
          </w:p>
        </w:tc>
      </w:tr>
      <w:tr>
        <w:tblPrEx>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9" w:line="120" w:lineRule="exact"/>
              <w:rPr>
                <w:rFonts w:ascii="宋体"/>
                <w:color w:val="auto"/>
                <w:sz w:val="12"/>
                <w:szCs w:val="12"/>
              </w:rPr>
            </w:pPr>
          </w:p>
          <w:p>
            <w:pPr>
              <w:pStyle w:val="40"/>
              <w:kinsoku w:val="0"/>
              <w:overflowPunct w:val="0"/>
              <w:ind w:left="706"/>
              <w:rPr>
                <w:rFonts w:ascii="宋体"/>
                <w:color w:val="auto"/>
              </w:rPr>
            </w:pPr>
            <w:r>
              <w:rPr>
                <w:rFonts w:hint="eastAsia" w:ascii="宋体" w:cs="Microsoft JhengHei"/>
                <w:color w:val="auto"/>
                <w:szCs w:val="21"/>
              </w:rPr>
              <w:t>买方</w:t>
            </w:r>
            <w:r>
              <w:rPr>
                <w:rFonts w:hint="eastAsia" w:ascii="宋体" w:cs="Microsoft JhengHei"/>
                <w:color w:val="auto"/>
                <w:spacing w:val="-3"/>
                <w:szCs w:val="21"/>
              </w:rPr>
              <w:t>名</w:t>
            </w:r>
            <w:r>
              <w:rPr>
                <w:rFonts w:hint="eastAsia" w:ascii="宋体" w:cs="Microsoft JhengHei"/>
                <w:color w:val="auto"/>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color w:val="auto"/>
              </w:rPr>
            </w:pPr>
          </w:p>
        </w:tc>
      </w:tr>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line="130" w:lineRule="exact"/>
              <w:rPr>
                <w:rFonts w:ascii="宋体"/>
                <w:color w:val="auto"/>
                <w:sz w:val="13"/>
                <w:szCs w:val="13"/>
              </w:rPr>
            </w:pPr>
          </w:p>
          <w:p>
            <w:pPr>
              <w:pStyle w:val="40"/>
              <w:kinsoku w:val="0"/>
              <w:overflowPunct w:val="0"/>
              <w:ind w:left="286"/>
              <w:rPr>
                <w:rFonts w:ascii="宋体"/>
                <w:color w:val="auto"/>
              </w:rPr>
            </w:pPr>
            <w:r>
              <w:rPr>
                <w:rFonts w:hint="eastAsia" w:ascii="宋体" w:cs="Microsoft JhengHei"/>
                <w:color w:val="auto"/>
                <w:szCs w:val="21"/>
              </w:rPr>
              <w:t>买方</w:t>
            </w:r>
            <w:r>
              <w:rPr>
                <w:rFonts w:hint="eastAsia" w:ascii="宋体" w:cs="Microsoft JhengHei"/>
                <w:color w:val="auto"/>
                <w:spacing w:val="-3"/>
                <w:szCs w:val="21"/>
              </w:rPr>
              <w:t>联</w:t>
            </w:r>
            <w:r>
              <w:rPr>
                <w:rFonts w:hint="eastAsia" w:ascii="宋体" w:cs="Microsoft JhengHei"/>
                <w:color w:val="auto"/>
                <w:szCs w:val="21"/>
              </w:rPr>
              <w:t>系</w:t>
            </w:r>
            <w:r>
              <w:rPr>
                <w:rFonts w:hint="eastAsia" w:ascii="宋体" w:cs="Microsoft JhengHei"/>
                <w:color w:val="auto"/>
                <w:spacing w:val="-3"/>
                <w:szCs w:val="21"/>
              </w:rPr>
              <w:t>人</w:t>
            </w:r>
            <w:r>
              <w:rPr>
                <w:rFonts w:hint="eastAsia" w:ascii="宋体" w:cs="Microsoft JhengHei"/>
                <w:color w:val="auto"/>
                <w:szCs w:val="21"/>
              </w:rPr>
              <w:t>及</w:t>
            </w:r>
            <w:r>
              <w:rPr>
                <w:rFonts w:hint="eastAsia" w:ascii="宋体" w:cs="Microsoft JhengHei"/>
                <w:color w:val="auto"/>
                <w:spacing w:val="-3"/>
                <w:szCs w:val="21"/>
              </w:rPr>
              <w:t>电</w:t>
            </w:r>
            <w:r>
              <w:rPr>
                <w:rFonts w:hint="eastAsia" w:ascii="宋体" w:cs="Microsoft JhengHei"/>
                <w:color w:val="auto"/>
                <w:szCs w:val="21"/>
              </w:rPr>
              <w:t>话</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color w:val="auto"/>
              </w:rPr>
            </w:pPr>
          </w:p>
        </w:tc>
      </w:tr>
      <w:tr>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line="130" w:lineRule="exact"/>
              <w:rPr>
                <w:rFonts w:ascii="宋体"/>
                <w:sz w:val="13"/>
                <w:szCs w:val="13"/>
              </w:rPr>
            </w:pPr>
          </w:p>
          <w:p>
            <w:pPr>
              <w:pStyle w:val="40"/>
              <w:kinsoku w:val="0"/>
              <w:overflowPunct w:val="0"/>
              <w:ind w:left="706"/>
              <w:rPr>
                <w:rFonts w:ascii="宋体"/>
              </w:rPr>
            </w:pPr>
            <w:r>
              <w:rPr>
                <w:rFonts w:hint="eastAsia" w:ascii="宋体" w:cs="Microsoft JhengHei"/>
                <w:szCs w:val="21"/>
              </w:rPr>
              <w:t>签约合同</w:t>
            </w:r>
            <w:r>
              <w:rPr>
                <w:rFonts w:hint="eastAsia" w:ascii="宋体" w:cs="Microsoft JhengHei"/>
                <w:spacing w:val="-3"/>
                <w:szCs w:val="21"/>
              </w:rPr>
              <w:t>价</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rPr>
            </w:pPr>
          </w:p>
        </w:tc>
      </w:tr>
      <w:tr>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0"/>
              <w:kinsoku w:val="0"/>
              <w:overflowPunct w:val="0"/>
              <w:spacing w:before="4" w:line="140" w:lineRule="exact"/>
              <w:jc w:val="center"/>
              <w:rPr>
                <w:rFonts w:ascii="宋体"/>
                <w:sz w:val="14"/>
                <w:szCs w:val="14"/>
              </w:rPr>
            </w:pPr>
          </w:p>
          <w:p>
            <w:pPr>
              <w:pStyle w:val="40"/>
              <w:kinsoku w:val="0"/>
              <w:overflowPunct w:val="0"/>
              <w:spacing w:line="293" w:lineRule="auto"/>
              <w:jc w:val="center"/>
              <w:rPr>
                <w:rFonts w:ascii="宋体"/>
              </w:rPr>
            </w:pPr>
            <w:r>
              <w:rPr>
                <w:rFonts w:hint="eastAsia" w:ascii="宋体" w:cs="Microsoft JhengHei"/>
                <w:szCs w:val="21"/>
              </w:rPr>
              <w:t>项目</w:t>
            </w:r>
            <w:r>
              <w:rPr>
                <w:rFonts w:hint="eastAsia" w:ascii="宋体" w:cs="Microsoft JhengHei"/>
                <w:spacing w:val="-3"/>
                <w:szCs w:val="21"/>
              </w:rPr>
              <w:t>概</w:t>
            </w:r>
            <w:r>
              <w:rPr>
                <w:rFonts w:hint="eastAsia" w:ascii="宋体" w:cs="Microsoft JhengHei"/>
                <w:szCs w:val="21"/>
              </w:rPr>
              <w:t>况</w:t>
            </w:r>
            <w:r>
              <w:rPr>
                <w:rFonts w:hint="eastAsia" w:ascii="宋体" w:cs="Microsoft JhengHei"/>
                <w:spacing w:val="-3"/>
                <w:szCs w:val="21"/>
              </w:rPr>
              <w:t>及</w:t>
            </w:r>
            <w:r>
              <w:rPr>
                <w:rFonts w:hint="eastAsia" w:ascii="宋体" w:cs="Microsoft JhengHei"/>
                <w:szCs w:val="21"/>
              </w:rPr>
              <w:t>申请人履约情况</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rPr>
            </w:pPr>
          </w:p>
        </w:tc>
      </w:tr>
      <w:tr>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8" w:line="130" w:lineRule="exact"/>
              <w:rPr>
                <w:rFonts w:ascii="宋体"/>
                <w:sz w:val="13"/>
                <w:szCs w:val="13"/>
              </w:rPr>
            </w:pPr>
          </w:p>
          <w:p>
            <w:pPr>
              <w:pStyle w:val="40"/>
              <w:kinsoku w:val="0"/>
              <w:overflowPunct w:val="0"/>
              <w:ind w:left="899" w:right="898"/>
              <w:jc w:val="center"/>
              <w:rPr>
                <w:rFonts w:ascii="宋体"/>
              </w:rPr>
            </w:pPr>
            <w:r>
              <w:rPr>
                <w:rFonts w:hint="eastAsia" w:ascii="宋体" w:cs="Microsoft JhengHei"/>
                <w:szCs w:val="21"/>
              </w:rPr>
              <w:t>备注</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rPr>
            </w:pPr>
          </w:p>
        </w:tc>
      </w:tr>
    </w:tbl>
    <w:p>
      <w:pPr>
        <w:pStyle w:val="2"/>
        <w:kinsoku w:val="0"/>
        <w:overflowPunct w:val="0"/>
        <w:spacing w:after="0" w:line="360" w:lineRule="auto"/>
        <w:rPr>
          <w:rFonts w:ascii="宋体"/>
          <w:color w:val="000000"/>
        </w:rPr>
      </w:pPr>
    </w:p>
    <w:p>
      <w:pPr>
        <w:pStyle w:val="2"/>
        <w:kinsoku w:val="0"/>
        <w:overflowPunct w:val="0"/>
        <w:spacing w:after="0" w:line="360" w:lineRule="auto"/>
      </w:pPr>
      <w:r>
        <w:rPr>
          <w:rFonts w:ascii="宋体"/>
          <w:color w:val="000000"/>
        </w:rPr>
        <w:t>注：</w:t>
      </w:r>
      <w:r>
        <w:rPr>
          <w:rFonts w:hint="eastAsia" w:ascii="宋体"/>
          <w:color w:val="000000"/>
        </w:rPr>
        <w:t>后附</w:t>
      </w:r>
      <w:r>
        <w:rPr>
          <w:rFonts w:hint="eastAsia"/>
        </w:rPr>
        <w:t>合同协议书复印件，每张表格只填写一个项目，并标明序号。</w:t>
      </w:r>
    </w:p>
    <w:p/>
    <w:p>
      <w:pPr>
        <w:pStyle w:val="6"/>
        <w:spacing w:before="0" w:after="0" w:line="360" w:lineRule="auto"/>
        <w:ind w:firstLine="0" w:firstLineChars="0"/>
        <w:rPr>
          <w:rFonts w:ascii="宋体" w:eastAsia="宋体"/>
          <w:sz w:val="24"/>
          <w:szCs w:val="24"/>
        </w:rPr>
      </w:pPr>
      <w:bookmarkStart w:id="164" w:name="_Toc265953295"/>
      <w:bookmarkStart w:id="165" w:name="_Toc35431732"/>
      <w:bookmarkStart w:id="166" w:name="_Toc247527849"/>
      <w:bookmarkStart w:id="167" w:name="_Toc144974877"/>
      <w:bookmarkStart w:id="168" w:name="_Toc152045809"/>
      <w:bookmarkStart w:id="169" w:name="_Toc152042598"/>
      <w:bookmarkStart w:id="170" w:name="_Toc247514301"/>
      <w:r>
        <w:rPr>
          <w:rFonts w:ascii="宋体" w:eastAsia="宋体"/>
          <w:sz w:val="24"/>
          <w:szCs w:val="24"/>
        </w:rPr>
        <w:t>（</w:t>
      </w:r>
      <w:r>
        <w:rPr>
          <w:rFonts w:hint="eastAsia" w:ascii="宋体" w:eastAsia="宋体"/>
          <w:sz w:val="24"/>
          <w:szCs w:val="24"/>
        </w:rPr>
        <w:t>三</w:t>
      </w:r>
      <w:r>
        <w:rPr>
          <w:rFonts w:ascii="宋体" w:eastAsia="宋体"/>
          <w:sz w:val="24"/>
          <w:szCs w:val="24"/>
        </w:rPr>
        <w:t>）</w:t>
      </w:r>
      <w:r>
        <w:rPr>
          <w:rFonts w:hint="eastAsia" w:ascii="宋体" w:eastAsia="宋体"/>
          <w:sz w:val="24"/>
          <w:szCs w:val="24"/>
        </w:rPr>
        <w:t>经营</w:t>
      </w:r>
      <w:r>
        <w:rPr>
          <w:rFonts w:ascii="宋体" w:eastAsia="宋体"/>
          <w:sz w:val="24"/>
          <w:szCs w:val="24"/>
        </w:rPr>
        <w:t>状况</w:t>
      </w:r>
      <w:bookmarkEnd w:id="164"/>
      <w:bookmarkEnd w:id="165"/>
      <w:bookmarkEnd w:id="166"/>
      <w:bookmarkEnd w:id="167"/>
      <w:bookmarkEnd w:id="168"/>
      <w:bookmarkEnd w:id="169"/>
      <w:bookmarkEnd w:id="170"/>
    </w:p>
    <w:p>
      <w:pPr>
        <w:pStyle w:val="6"/>
        <w:spacing w:before="0" w:after="0" w:line="360" w:lineRule="auto"/>
        <w:ind w:firstLine="597" w:firstLineChars="249"/>
        <w:rPr>
          <w:rFonts w:ascii="宋体" w:eastAsia="宋体"/>
          <w:sz w:val="24"/>
          <w:szCs w:val="24"/>
        </w:rPr>
      </w:pPr>
      <w:r>
        <w:rPr>
          <w:rFonts w:hint="eastAsia" w:ascii="宋体" w:eastAsia="宋体"/>
          <w:sz w:val="24"/>
          <w:szCs w:val="24"/>
        </w:rPr>
        <w:t>自拟</w:t>
      </w:r>
    </w:p>
    <w:p>
      <w:pPr>
        <w:pStyle w:val="13"/>
        <w:spacing w:line="380" w:lineRule="exact"/>
        <w:ind w:firstLine="960" w:firstLineChars="400"/>
        <w:rPr>
          <w:color w:val="FF0000"/>
          <w:sz w:val="24"/>
          <w:szCs w:val="24"/>
        </w:rPr>
      </w:pPr>
    </w:p>
    <w:p>
      <w:pPr>
        <w:pStyle w:val="6"/>
        <w:numPr>
          <w:ilvl w:val="0"/>
          <w:numId w:val="4"/>
        </w:numPr>
        <w:spacing w:before="0" w:after="0" w:line="360" w:lineRule="auto"/>
        <w:ind w:firstLine="0" w:firstLineChars="0"/>
        <w:rPr>
          <w:rFonts w:ascii="宋体" w:eastAsia="宋体"/>
          <w:sz w:val="24"/>
          <w:szCs w:val="24"/>
        </w:rPr>
      </w:pPr>
      <w:bookmarkStart w:id="171" w:name="_Toc27352"/>
      <w:bookmarkStart w:id="172" w:name="_Toc17909"/>
      <w:bookmarkStart w:id="173" w:name="_Toc6158"/>
      <w:bookmarkStart w:id="174" w:name="_Toc8980"/>
      <w:bookmarkStart w:id="175" w:name="_Toc2121"/>
      <w:bookmarkStart w:id="176" w:name="_Toc22505"/>
      <w:bookmarkStart w:id="177" w:name="_Toc14921"/>
      <w:r>
        <w:rPr>
          <w:rFonts w:hint="eastAsia" w:ascii="宋体" w:eastAsia="宋体"/>
          <w:sz w:val="24"/>
          <w:szCs w:val="24"/>
        </w:rPr>
        <w:t>企业管理制度及供货方案</w:t>
      </w:r>
    </w:p>
    <w:p>
      <w:pPr>
        <w:pStyle w:val="6"/>
        <w:spacing w:before="0" w:after="0" w:line="360" w:lineRule="auto"/>
        <w:ind w:firstLine="597" w:firstLineChars="249"/>
        <w:rPr>
          <w:rFonts w:ascii="宋体" w:eastAsia="宋体"/>
          <w:sz w:val="24"/>
          <w:szCs w:val="24"/>
        </w:rPr>
      </w:pPr>
      <w:r>
        <w:rPr>
          <w:rFonts w:hint="eastAsia" w:ascii="宋体" w:eastAsia="宋体"/>
          <w:sz w:val="24"/>
          <w:szCs w:val="24"/>
        </w:rPr>
        <w:t>自拟</w:t>
      </w:r>
    </w:p>
    <w:p/>
    <w:p>
      <w:pPr>
        <w:pStyle w:val="6"/>
        <w:spacing w:before="0" w:after="0" w:line="360" w:lineRule="auto"/>
        <w:ind w:firstLine="0" w:firstLineChars="0"/>
        <w:rPr>
          <w:rFonts w:ascii="宋体" w:eastAsia="宋体"/>
          <w:sz w:val="24"/>
          <w:szCs w:val="24"/>
        </w:rPr>
      </w:pPr>
      <w:r>
        <w:rPr>
          <w:rFonts w:hint="eastAsia" w:ascii="宋体" w:eastAsia="宋体"/>
          <w:sz w:val="24"/>
          <w:szCs w:val="24"/>
        </w:rPr>
        <w:t>（五）企业信誉</w:t>
      </w:r>
    </w:p>
    <w:p>
      <w:pPr>
        <w:pStyle w:val="6"/>
        <w:spacing w:before="0" w:after="0" w:line="360" w:lineRule="auto"/>
        <w:ind w:firstLine="480" w:firstLineChars="200"/>
        <w:rPr>
          <w:rFonts w:ascii="宋体" w:eastAsia="宋体"/>
          <w:sz w:val="24"/>
          <w:szCs w:val="24"/>
        </w:rPr>
      </w:pPr>
      <w:r>
        <w:rPr>
          <w:rFonts w:hint="eastAsia" w:ascii="宋体" w:eastAsia="宋体"/>
          <w:sz w:val="24"/>
          <w:szCs w:val="24"/>
        </w:rPr>
        <w:t>包括不限于获得的荣誉、过往业绩履约情况、行政主管部门内作出的各种处罚和不良行为记录以及其他失信记录等。</w:t>
      </w:r>
      <w:bookmarkEnd w:id="82"/>
      <w:bookmarkEnd w:id="171"/>
      <w:bookmarkEnd w:id="172"/>
      <w:bookmarkEnd w:id="173"/>
      <w:bookmarkEnd w:id="174"/>
      <w:bookmarkEnd w:id="175"/>
      <w:bookmarkEnd w:id="176"/>
      <w:bookmarkEnd w:id="177"/>
    </w:p>
    <w:p>
      <w:pPr>
        <w:rPr>
          <w:rFonts w:ascii="宋体"/>
          <w:sz w:val="24"/>
        </w:rPr>
      </w:pPr>
      <w:r>
        <w:rPr>
          <w:rFonts w:hint="eastAsia" w:ascii="宋体"/>
          <w:sz w:val="24"/>
        </w:rPr>
        <w:br w:type="page"/>
      </w:r>
    </w:p>
    <w:p>
      <w:pPr>
        <w:pStyle w:val="24"/>
        <w:ind w:firstLine="0" w:firstLineChars="0"/>
        <w:jc w:val="center"/>
        <w:rPr>
          <w:color w:val="auto"/>
        </w:rPr>
      </w:pPr>
      <w:r>
        <w:rPr>
          <w:rFonts w:ascii="宋体" w:hAnsi="宋体" w:cs="宋体"/>
          <w:b/>
          <w:bCs/>
          <w:color w:val="auto"/>
          <w:spacing w:val="2"/>
          <w:sz w:val="47"/>
          <w:szCs w:val="47"/>
        </w:rPr>
        <w:t>保温管及管件技术要求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一、</w:t>
      </w:r>
      <w:r>
        <w:rPr>
          <w:rFonts w:hint="eastAsia"/>
          <w:b/>
          <w:bCs/>
          <w:sz w:val="24"/>
          <w:szCs w:val="24"/>
        </w:rPr>
        <w:t>一次网保温管及管件技术要求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4"/>
        </w:rPr>
      </w:pPr>
      <w:r>
        <w:rPr>
          <w:rFonts w:hint="eastAsia"/>
          <w:b/>
          <w:bCs/>
          <w:sz w:val="24"/>
          <w:szCs w:val="24"/>
        </w:rPr>
        <w:t>1.1预制直埋保温管设计要求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直埋保温管标准应满足国家行业标准《硬质聚氨酯喷涂聚乙烯缠绕预制直埋保温管》（GB/T34611-2017），保温管件标准应满足国家行业标准《高密度聚乙烯外护管硬质聚氨脂泡沫塑料预制直埋保温管及管件》（GB/T29047-2021）。也可以采用与CJ标准相当或更好的国际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直埋保温管及管件严禁在运输、工地暂存、施工安装期间受潮或雨淋。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eastAsia="zh-CN"/>
        </w:rPr>
        <w:t>响应人</w:t>
      </w:r>
      <w:r>
        <w:rPr>
          <w:rFonts w:hint="eastAsia"/>
          <w:sz w:val="24"/>
          <w:szCs w:val="24"/>
        </w:rPr>
        <w:t>应阐明在直埋保温管及管件制造和检验的每一步如何严格遵守标准。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预制直埋保温管的制造商应保证预制直埋保温管被合成为一个整体。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bookmarkStart w:id="178" w:name="OLE_LINK4"/>
      <w:bookmarkStart w:id="179" w:name="OLE_LINK3"/>
      <w:r>
        <w:rPr>
          <w:rFonts w:hint="eastAsia"/>
          <w:sz w:val="24"/>
          <w:szCs w:val="24"/>
        </w:rPr>
        <w:t>备注：除了管道接口保温，保温管和保温管件的现场发泡是严格禁止的，只允许使用在工厂预制的保温管和保温管件。</w:t>
      </w:r>
      <w:bookmarkEnd w:id="178"/>
      <w:bookmarkEnd w:id="179"/>
      <w:r>
        <w:rPr>
          <w:rFonts w:hint="eastAsia"/>
          <w:sz w:val="24"/>
          <w:szCs w:val="24"/>
        </w:rPr>
        <w:t>否则将被拒标。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设计温度：供水温度125℃，回水温度30℃。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4"/>
        </w:rPr>
      </w:pPr>
      <w:r>
        <w:rPr>
          <w:rFonts w:hint="eastAsia"/>
          <w:b/>
          <w:bCs/>
          <w:sz w:val="24"/>
          <w:szCs w:val="24"/>
        </w:rPr>
        <w:t>供回水保温管均在 130℃下连续工作年限≥30年，长期耐温达到130℃。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4"/>
        </w:rPr>
      </w:pPr>
      <w:r>
        <w:rPr>
          <w:rFonts w:hint="eastAsia"/>
          <w:b/>
          <w:bCs/>
          <w:sz w:val="24"/>
          <w:szCs w:val="24"/>
        </w:rPr>
        <w:t>1.2钢管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钢管材料与结构在正常使用条件下，其使用寿命至少30年。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工程供热钢管管径大于DN200的管道，采用螺旋缝埋弧焊钢管，材质为Q235B，质量应符合《低压流体输送用焊接钢管》GB/T3091-2015的要求。管径小于等于DN200的管道采用无缝钢管，管材为钢20，质量应符合《输送流体用无缝钢管》GB/T8163－2018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制造厂家需满足招标方所提供材料表中的规格尺寸及《低压流体输送用焊接钢管》GB/T3091-2015或《输送流体用无缝钢管》GB/T8163－2018中的性能要求。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1.2.1 制造工艺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1.2.1.1采用热轧钢带做管坯，经常温螺旋成形，螺旋缝采用自动埋弧焊法焊接，内外埋弧焊缝各不少于一道。钢带宽度要求大于钢管直径。对于大口径钢管使用的卷板宽度要求大于等于1.7米。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1.2.1.2螺旋缝钢管应采用GB/T700-2006中的Q235B钢焊制。无缝钢管材质符合GB/T699-</w:t>
      </w:r>
      <w:r>
        <w:rPr>
          <w:sz w:val="24"/>
          <w:szCs w:val="24"/>
        </w:rPr>
        <w:t>2015</w:t>
      </w:r>
      <w:r>
        <w:rPr>
          <w:rFonts w:hint="eastAsia"/>
          <w:sz w:val="24"/>
          <w:szCs w:val="24"/>
        </w:rPr>
        <w:t>中的钢20。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1.2.2 工艺质量及要求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rPr>
      </w:pPr>
      <w:r>
        <w:rPr>
          <w:rFonts w:hint="eastAsia"/>
          <w:sz w:val="24"/>
          <w:szCs w:val="24"/>
        </w:rPr>
        <w:t>1.2.2.1要求钢管的外径允许尺寸偏差需符合《低压流体输送用焊接钢管》GB/T3091-2015中的标准，供货钢管圆度最大偏差为0.01D。钢管外径用周长法测量。</w:t>
      </w:r>
      <w:r>
        <w:rPr>
          <w:rFonts w:hint="eastAsia"/>
          <w:b/>
          <w:bCs/>
          <w:sz w:val="24"/>
          <w:szCs w:val="24"/>
        </w:rPr>
        <w:t>所有管道壁厚应不低于设计管道壁厚，不应存在负偏差。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1.2.2.2管端应符合《低压流体输送用焊接钢管》GB/T3091-2015的要求。管端应根据GB/T3091-2015做坡口，距管端100mm长度范围内将内焊缝磨平管端应无毛刺。坡口的具体型式由供需双方协商，管端应在工厂进行消磁处理。管端面应垂直于钢管轴线，极限偏差不得大于2.0mm。钢管管端100mm范围内椭圆度不得超过3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1.1.2.3钢管错边不得超过0.1T。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1.1.2.4</w:t>
      </w:r>
      <w:r>
        <w:rPr>
          <w:rFonts w:hint="eastAsia"/>
          <w:b/>
          <w:bCs/>
          <w:sz w:val="24"/>
          <w:szCs w:val="24"/>
        </w:rPr>
        <w:t>每根钢管应由制造厂做静水压试验而无渗漏现象，</w:t>
      </w:r>
      <w:r>
        <w:rPr>
          <w:rFonts w:hint="eastAsia"/>
          <w:sz w:val="24"/>
          <w:szCs w:val="24"/>
        </w:rPr>
        <w:t>静水压试验的试验压力保持时间不少于10s。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1.1.2.5工作管两端需留有250mm的非保温区，端面应采取临时性密封。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1.1.2.6保护垫层材料除应满足相应的产品标准外，在使用年限内还应满足耐温、耐磨的要求。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1.1.2.7钢管的定尺长度为12m，长度偏差为-20/+50mm。无缝管要求最短6米，不定尺。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1.1.2.8在一段钢管中，只允许有一条制管钢板对头焊缝。提交的钢管不允许有对接焊缝。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1.1.3无损检验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钢管的所有焊缝需进行100% X射线检测，焊缝应不低于NB/T47013.2-2015中Ⅱ级焊缝标准。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1.1.4、外观检查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1.1.4.1钢管应逐根检查表面质量。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1.1.4.2钢管表面不得有裂缝、结疤、折叠以及其它深度超过标称壁厚下偏差的缺陷。对无法判明深度的缺陷，应采用修磨法完全清除，然后进行测量。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1.1.4.3对于钢管上的分层、夹杂、焊缝余高、摔坑等需按GB/T3091-2015中的要求执行。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1.1.4.4焊缝不得有裂纹、断弧、烧穿和弧坑等缺陷。焊缝外形应均匀规整，过渡平缓。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1.1.5试验方法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1.1.5.1化学成分分析方法应按照GB/T223.5，GB/T223.58，GB/T223.59，GB/T223.68，GB/T223.69的分析结果为准。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1.1.5.2拉伸试验应按照GB/T2651的规定进行，试验温度为常温。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1.1.5.3钢管试验压力应使管壁上产生母材最小屈服强度的90%的环向应力。 试验压力应维持至少20秒钟，管子不得有泄漏和残余变形。试验结果应自动记录。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1.1.6除锈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rPr>
      </w:pPr>
      <w:r>
        <w:rPr>
          <w:rFonts w:hint="eastAsia"/>
          <w:sz w:val="24"/>
          <w:szCs w:val="24"/>
        </w:rPr>
        <w:t>钢管被保温之前，其表面的锈蚀度应符合GB/T8923的A、B、C 的规定，外表面不能有坑。</w:t>
      </w:r>
      <w:r>
        <w:rPr>
          <w:rFonts w:hint="eastAsia"/>
          <w:b/>
          <w:bCs/>
          <w:sz w:val="24"/>
          <w:szCs w:val="24"/>
        </w:rPr>
        <w:t>钢管外表面必须于聚氨酯喷涂当天在保温管生产厂进行抛丸处理，抛丸等级为Sa2.5级。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其它未说明直埋保温管及管件标准应满足国家行业标准《城镇供热直埋热水管道技术规程》CJJ/T81-2013和《高密度聚乙烯外护管硬质聚氨酯泡沫塑料预制直埋保温管及管件》GB/T29047-2021的要求。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1.3</w:t>
      </w:r>
      <w:bookmarkStart w:id="180" w:name="_Toc286247407"/>
      <w:bookmarkStart w:id="181" w:name="_Toc287449545"/>
      <w:r>
        <w:rPr>
          <w:rFonts w:hint="eastAsia"/>
          <w:b/>
          <w:bCs/>
          <w:sz w:val="24"/>
          <w:szCs w:val="24"/>
        </w:rPr>
        <w:t>聚氨酯硬质泡沫塑料保温层</w:t>
      </w:r>
      <w:bookmarkEnd w:id="180"/>
      <w:bookmarkEnd w:id="1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聚氨酯硬质泡沫塑料保温层应满足GB/T34611-2017标准的要求。聚氨酯泡沫塑料保温层应使用不含氟利昂的发泡剂。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泡沫</w:t>
      </w:r>
      <w:r>
        <w:rPr>
          <w:sz w:val="24"/>
          <w:szCs w:val="24"/>
        </w:rPr>
        <w:t>应</w:t>
      </w:r>
      <w:r>
        <w:rPr>
          <w:rFonts w:hint="eastAsia"/>
          <w:sz w:val="24"/>
          <w:szCs w:val="24"/>
        </w:rPr>
        <w:t>具有一定的粘接强度，使钢管、外套管及保温层三者形成一个牢固的整体。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泡沫结构：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泡沫体应无污斑、无收缩分层开裂现象。泡孔应均匀细密。泡沫气孔结构平均径向尺寸应小于</w:t>
      </w:r>
      <w:r>
        <w:rPr>
          <w:sz w:val="24"/>
          <w:szCs w:val="24"/>
        </w:rPr>
        <w:t>0.5mm</w:t>
      </w:r>
      <w:r>
        <w:rPr>
          <w:rFonts w:hint="eastAsia"/>
          <w:sz w:val="24"/>
          <w:szCs w:val="24"/>
        </w:rPr>
        <w:t>，闭孔率不应小于90%。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r>
        <w:rPr>
          <w:rFonts w:hint="eastAsia"/>
          <w:sz w:val="24"/>
          <w:szCs w:val="24"/>
        </w:rPr>
        <w:t>任何位置的密度不得小于6</w:t>
      </w:r>
      <w:r>
        <w:rPr>
          <w:sz w:val="24"/>
          <w:szCs w:val="24"/>
        </w:rPr>
        <w:t>0kg/m</w:t>
      </w:r>
      <w:r>
        <w:rPr>
          <w:rFonts w:hint="eastAsia"/>
          <w:sz w:val="24"/>
          <w:szCs w:val="24"/>
        </w:rPr>
        <w:t>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w:t>
      </w:r>
      <w:r>
        <w:rPr>
          <w:rFonts w:hint="eastAsia"/>
          <w:sz w:val="24"/>
          <w:szCs w:val="24"/>
        </w:rPr>
        <w:t>保温层泡沫径向压缩强度或径向相对变形为</w:t>
      </w:r>
      <w:r>
        <w:rPr>
          <w:sz w:val="24"/>
          <w:szCs w:val="24"/>
        </w:rPr>
        <w:t>10</w:t>
      </w:r>
      <w:r>
        <w:rPr>
          <w:rFonts w:hint="eastAsia"/>
          <w:sz w:val="24"/>
          <w:szCs w:val="24"/>
        </w:rPr>
        <w:t>％时的压缩应力小于</w:t>
      </w:r>
      <w:r>
        <w:rPr>
          <w:sz w:val="24"/>
          <w:szCs w:val="24"/>
        </w:rPr>
        <w:t>0.</w:t>
      </w:r>
      <w:r>
        <w:rPr>
          <w:rFonts w:hint="eastAsia"/>
          <w:sz w:val="24"/>
          <w:szCs w:val="24"/>
        </w:rPr>
        <w:t>35M</w:t>
      </w:r>
      <w:r>
        <w:rPr>
          <w:sz w:val="24"/>
          <w:szCs w:val="24"/>
        </w:rPr>
        <w:t>Pa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w:t>
      </w:r>
      <w:r>
        <w:rPr>
          <w:rFonts w:hint="eastAsia"/>
          <w:sz w:val="24"/>
          <w:szCs w:val="24"/>
        </w:rPr>
        <w:t>未经老化的泡沫层</w:t>
      </w:r>
      <w:r>
        <w:rPr>
          <w:sz w:val="24"/>
          <w:szCs w:val="24"/>
        </w:rPr>
        <w:t>50</w:t>
      </w:r>
      <w:r>
        <w:rPr>
          <w:rFonts w:hint="eastAsia"/>
          <w:sz w:val="24"/>
          <w:szCs w:val="24"/>
        </w:rPr>
        <w:t>℃状态下，导热系数不大于</w:t>
      </w:r>
      <w:r>
        <w:rPr>
          <w:sz w:val="24"/>
          <w:szCs w:val="24"/>
        </w:rPr>
        <w:t>0.033</w:t>
      </w:r>
      <w:r>
        <w:rPr>
          <w:rFonts w:hint="eastAsia"/>
          <w:sz w:val="24"/>
          <w:szCs w:val="24"/>
        </w:rPr>
        <w:t>（</w:t>
      </w:r>
      <w:r>
        <w:rPr>
          <w:sz w:val="24"/>
          <w:szCs w:val="24"/>
        </w:rPr>
        <w:t>W/m</w:t>
      </w:r>
      <w:r>
        <w:rPr>
          <w:rFonts w:hint="eastAsia"/>
          <w:sz w:val="24"/>
          <w:szCs w:val="24"/>
        </w:rPr>
        <w:t>•</w:t>
      </w:r>
      <w:r>
        <w:rPr>
          <w:sz w:val="24"/>
          <w:szCs w:val="24"/>
        </w:rPr>
        <w:t>K</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w:t>
      </w:r>
      <w:r>
        <w:rPr>
          <w:rFonts w:hint="eastAsia"/>
          <w:sz w:val="24"/>
          <w:szCs w:val="24"/>
        </w:rPr>
        <w:t>在保温层任意位置聚氨酯泡沫塑料吸水率不应大于8％。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1.4高密度聚乙烯外套管主要性能指标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.4.1外护管应使用高密度聚乙烯制造，其性能要符合《高密度聚乙烯外护管硬质聚氨酯泡沫塑料预制直埋保温管及管件》GB/T29047-2021的要求，其等级应为PE80及以上等级，</w:t>
      </w:r>
      <w:r>
        <w:rPr>
          <w:rFonts w:hint="eastAsia"/>
          <w:b/>
          <w:bCs/>
          <w:sz w:val="24"/>
          <w:szCs w:val="24"/>
        </w:rPr>
        <w:t>原料中不得掺用回收料、再生料，100%纯原生料制成。如卖方原料不符合要求（掺用回收料或再生料等其它非纯原料的材料），买方有权取消其供货权，并要求对整个工程进行赔偿。</w:t>
      </w:r>
      <w:r>
        <w:rPr>
          <w:rFonts w:hint="eastAsia"/>
          <w:sz w:val="24"/>
          <w:szCs w:val="24"/>
        </w:rPr>
        <w:t>聚乙烯树脂密度应大于935Kg/m3，其余添加原料符合EN253：2003 +A2:2006中第4.3.3.1条规定。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1.4.2外观为黑色，内外表面目测不应有影响其性能的沟槽。不允许有气泡、裂纹、凹陷、杂质、颜色不均等缺陷。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1.4.3碳黑含量符合EN253：2003 +A2:2006中第4.3.3.1条规定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1.4.4两个外护管焊接时熔体流动速率之差≤0.5g/10min。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1.4.5外护管原材料的热稳定性应满足EN253：2003 +A2:2006中第4.3.1.3条规定。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1.4.6外护管内表面应电晕处理，圆周75%的长度上应达到50dyn/cm以上的表面张力。电晕处理必须于聚氨酯喷涂当天在保温管生产厂进行。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1.4.7外护管的长期机械性能应符合下表规定。</w:t>
      </w:r>
    </w:p>
    <w:tbl>
      <w:tblPr>
        <w:tblStyle w:val="25"/>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3006"/>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拉伸力（MPa）</w:t>
            </w:r>
          </w:p>
        </w:tc>
        <w:tc>
          <w:tcPr>
            <w:tcW w:w="30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最短屈服时间（h）</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试验温度（℃）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4</w:t>
            </w:r>
          </w:p>
        </w:tc>
        <w:tc>
          <w:tcPr>
            <w:tcW w:w="30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2000</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80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1.4.8、外护管应满足工作钢管在130℃长期运行时保温外护层不得开裂。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密度：              ≥944kg/m3       导热系数：0.43W/m.K</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断裂伸长率：        ≥350%           热膨胀系数：180×10-6L/℃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屈服强度：          ≥19MPa          长期机械性能：＞1500小时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纵向回缩率：        ≤3%             耐环境应力开裂：＞1000小时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w:t>
      </w:r>
      <w:bookmarkStart w:id="182" w:name="_Toc287449546"/>
      <w:bookmarkStart w:id="183" w:name="_Toc286247408"/>
      <w:r>
        <w:rPr>
          <w:rFonts w:hint="eastAsia"/>
          <w:b/>
          <w:bCs/>
          <w:sz w:val="24"/>
          <w:szCs w:val="24"/>
        </w:rPr>
        <w:t>5保温接头</w:t>
      </w:r>
      <w:bookmarkEnd w:id="182"/>
      <w:bookmarkEnd w:id="18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制造商除提供直埋保温管外，还应负责所提供的直埋保温管现场施工的接头保温，接头保温数量需考虑施工过程中保温管的裁截增加数量。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直埋保温管接头由直埋保温管供应制造商或有资质的单位在施工现场制作，接口不得采用手工发泡，泡沫密度大于</w:t>
      </w:r>
      <w:r>
        <w:rPr>
          <w:sz w:val="24"/>
          <w:szCs w:val="24"/>
        </w:rPr>
        <w:t>50kg/m3</w:t>
      </w:r>
      <w:r>
        <w:rPr>
          <w:rFonts w:hint="eastAsia"/>
          <w:sz w:val="24"/>
          <w:szCs w:val="24"/>
        </w:rPr>
        <w:t>，发泡前应对接头处进行气密性试验，试验压力及合格标准符合《城镇供热直埋热水管道技术规程》</w:t>
      </w:r>
      <w:r>
        <w:rPr>
          <w:sz w:val="24"/>
          <w:szCs w:val="24"/>
        </w:rPr>
        <w:t>CJJ/T81-2013</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保温接头的制造，保温接头要求密闭不渗水，并能整体承受管道自身轴向运动的应力。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r>
        <w:rPr>
          <w:rFonts w:hint="eastAsia"/>
          <w:sz w:val="24"/>
          <w:szCs w:val="24"/>
        </w:rPr>
        <w:t>保温接头采用电熔焊式卷筒接头及热收缩带双重做法。热缩带应能覆盖电熔焊式卷筒接头的所用焊缝。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w:t>
      </w:r>
      <w:r>
        <w:rPr>
          <w:rFonts w:hint="eastAsia"/>
          <w:sz w:val="24"/>
          <w:szCs w:val="24"/>
        </w:rPr>
        <w:t>热收缩带的剥离强度不小于</w:t>
      </w:r>
      <w:r>
        <w:rPr>
          <w:sz w:val="24"/>
          <w:szCs w:val="24"/>
        </w:rPr>
        <w:t>60N/cm</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1.6预制直埋保温管主要性能指标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1.6.1保温管的性能应符合GB/T29047-2021中的规定。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1.6.2保温层和外护层厚度不能小于材料表中的数值。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1.6.3聚乙烯外护管发泡前后外径增大率不大于2%。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1.6.4预期寿命：预制直埋保温管的整体性能要求在介质为125℃高温热水（短期耐温应达到140℃），系统工作压力1.6MPa的条件下，直埋保温管及管件连续工作使用寿命为30年以上。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1.6.5轴向剪切强度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保温管应根据GB/T29047-2021进行轴向剪切和径向剪切试验。老化后的最小剪切强度满足下表要求。</w:t>
      </w:r>
    </w:p>
    <w:tbl>
      <w:tblPr>
        <w:tblStyle w:val="25"/>
        <w:tblW w:w="7915" w:type="dxa"/>
        <w:tblInd w:w="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1823"/>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试验温度（℃）</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试验方法</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最小剪切强度（MPa）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6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23±2℃</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5.4.3.2</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140±2℃</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5.4.3.3</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0.08</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1.6.6预制保温管及管件的未保温部分（即自由端）长度为250±10mm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1.7保温管件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执行规范：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《钢制对焊管件</w:t>
      </w:r>
      <w:r>
        <w:rPr>
          <w:sz w:val="24"/>
          <w:szCs w:val="24"/>
        </w:rPr>
        <w:t xml:space="preserve"> 技术规范</w:t>
      </w:r>
      <w:r>
        <w:rPr>
          <w:rFonts w:hint="eastAsia"/>
          <w:sz w:val="24"/>
          <w:szCs w:val="24"/>
        </w:rPr>
        <w:t>》</w:t>
      </w:r>
      <w:r>
        <w:rPr>
          <w:sz w:val="24"/>
          <w:szCs w:val="24"/>
        </w:rPr>
        <w:t>GB/T13401-</w:t>
      </w:r>
      <w:r>
        <w:rPr>
          <w:rFonts w:hint="eastAsia"/>
          <w:sz w:val="24"/>
          <w:szCs w:val="24"/>
        </w:rPr>
        <w:t>20</w:t>
      </w:r>
      <w:r>
        <w:rPr>
          <w:sz w:val="24"/>
          <w:szCs w:val="24"/>
        </w:rPr>
        <w:t>17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《钢制对焊管件</w:t>
      </w:r>
      <w:r>
        <w:rPr>
          <w:sz w:val="24"/>
          <w:szCs w:val="24"/>
        </w:rPr>
        <w:t xml:space="preserve"> 类型与参数</w:t>
      </w:r>
      <w:r>
        <w:rPr>
          <w:rFonts w:hint="eastAsia"/>
          <w:sz w:val="24"/>
          <w:szCs w:val="24"/>
        </w:rPr>
        <w:t>》</w:t>
      </w:r>
      <w:r>
        <w:rPr>
          <w:sz w:val="24"/>
          <w:szCs w:val="24"/>
        </w:rPr>
        <w:t>GB/T12459-</w:t>
      </w:r>
      <w:r>
        <w:rPr>
          <w:rFonts w:hint="eastAsia"/>
          <w:sz w:val="24"/>
          <w:szCs w:val="24"/>
        </w:rPr>
        <w:t>20</w:t>
      </w:r>
      <w:r>
        <w:rPr>
          <w:sz w:val="24"/>
          <w:szCs w:val="24"/>
        </w:rPr>
        <w:t>17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《高密度聚乙烯外护管硬质聚氨酯泡沫塑料预制直埋保温管及管件》GB/T29047-2021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.7.1材料要求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管件使用钢材材质为钢20或Q235B钢</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钢</w:t>
      </w:r>
      <w:r>
        <w:rPr>
          <w:rFonts w:hint="eastAsia"/>
          <w:sz w:val="24"/>
          <w:szCs w:val="24"/>
        </w:rPr>
        <w:t>板制</w:t>
      </w:r>
      <w:r>
        <w:rPr>
          <w:sz w:val="24"/>
          <w:szCs w:val="24"/>
        </w:rPr>
        <w:t>对焊管件</w:t>
      </w:r>
      <w:r>
        <w:rPr>
          <w:rFonts w:hint="eastAsia"/>
          <w:sz w:val="24"/>
          <w:szCs w:val="24"/>
        </w:rPr>
        <w:t>钢板标准符合GB/T710-2008和GB/T711-2008。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 xml:space="preserve"> 制造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1</w:t>
      </w:r>
      <w:r>
        <w:rPr>
          <w:rFonts w:hint="eastAsia"/>
          <w:sz w:val="24"/>
          <w:szCs w:val="24"/>
        </w:rPr>
        <w:t>制造工艺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1</w:t>
      </w:r>
      <w:r>
        <w:rPr>
          <w:rFonts w:hint="eastAsia"/>
          <w:sz w:val="24"/>
          <w:szCs w:val="24"/>
        </w:rPr>
        <w:t>.1 管件的制造和检验必须符合《钢制对焊管件</w:t>
      </w:r>
      <w:r>
        <w:rPr>
          <w:sz w:val="24"/>
          <w:szCs w:val="24"/>
        </w:rPr>
        <w:t xml:space="preserve"> 技术规范</w:t>
      </w:r>
      <w:r>
        <w:rPr>
          <w:rFonts w:hint="eastAsia"/>
          <w:sz w:val="24"/>
          <w:szCs w:val="24"/>
        </w:rPr>
        <w:t>》</w:t>
      </w:r>
      <w:r>
        <w:rPr>
          <w:sz w:val="24"/>
          <w:szCs w:val="24"/>
        </w:rPr>
        <w:t>GB/T13401-</w:t>
      </w:r>
      <w:r>
        <w:rPr>
          <w:rFonts w:hint="eastAsia"/>
          <w:sz w:val="24"/>
          <w:szCs w:val="24"/>
        </w:rPr>
        <w:t>20</w:t>
      </w:r>
      <w:r>
        <w:rPr>
          <w:sz w:val="24"/>
          <w:szCs w:val="24"/>
        </w:rPr>
        <w:t>17</w:t>
      </w:r>
      <w:r>
        <w:rPr>
          <w:rFonts w:hint="eastAsia"/>
          <w:sz w:val="24"/>
          <w:szCs w:val="24"/>
        </w:rPr>
        <w:t>和《高密度聚乙烯外护管硬质聚氨酯泡沫塑料预制直埋保温管及管件》GB/T29047-2021中的有关规定。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1</w:t>
      </w:r>
      <w:r>
        <w:rPr>
          <w:rFonts w:hint="eastAsia"/>
          <w:sz w:val="24"/>
          <w:szCs w:val="24"/>
        </w:rPr>
        <w:t>.2弯头和弯管应采用压制弯管或热煨弯管，弯头和弯管两侧直管段长度应符合：公称直径为DN80～DN800，弯曲角度为15°～90°时，直管段长度为250mm；公称直径为DN900～DN1600，弯曲角度为15°～90°时，直管段长度为300mm；公称直径为DN80～DN1600，弯曲角度为1°～15°时，直管段长度为300mm；满足《高密度聚乙烯无缝外护管预制直埋保温管件》GB/T39246-2020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1</w:t>
      </w:r>
      <w:r>
        <w:rPr>
          <w:rFonts w:hint="eastAsia"/>
          <w:sz w:val="24"/>
          <w:szCs w:val="24"/>
        </w:rPr>
        <w:t>.3 三通管件的支管必须拔制，制造时不允许采用对焊方式加工，并且应保证其壁厚不低于直管公称壁厚+2mm。</w:t>
      </w:r>
      <w:r>
        <w:rPr>
          <w:rFonts w:hint="eastAsia"/>
          <w:b/>
          <w:bCs/>
          <w:sz w:val="24"/>
          <w:szCs w:val="24"/>
        </w:rPr>
        <w:t>三通强度应满足设计图纸中提出轴向力的要求。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1</w:t>
      </w:r>
      <w:r>
        <w:rPr>
          <w:rFonts w:hint="eastAsia"/>
          <w:sz w:val="24"/>
          <w:szCs w:val="24"/>
        </w:rPr>
        <w:t>.4 钢板制对焊管件本体纵焊缝的对口错边量小于管件壁厚的</w:t>
      </w:r>
      <w:r>
        <w:rPr>
          <w:sz w:val="24"/>
          <w:szCs w:val="24"/>
        </w:rPr>
        <w:t>10</w:t>
      </w:r>
      <w:r>
        <w:rPr>
          <w:rFonts w:hint="eastAsia"/>
          <w:sz w:val="24"/>
          <w:szCs w:val="24"/>
        </w:rPr>
        <w:t>％，且不得大于2</w:t>
      </w:r>
      <w:r>
        <w:rPr>
          <w:sz w:val="24"/>
          <w:szCs w:val="24"/>
        </w:rPr>
        <w:t>mm</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1</w:t>
      </w:r>
      <w:r>
        <w:rPr>
          <w:rFonts w:hint="eastAsia"/>
          <w:sz w:val="24"/>
          <w:szCs w:val="24"/>
        </w:rPr>
        <w:t>.5管件应按《钢制对焊管件</w:t>
      </w:r>
      <w:r>
        <w:rPr>
          <w:sz w:val="24"/>
          <w:szCs w:val="24"/>
        </w:rPr>
        <w:t xml:space="preserve"> 技术规范</w:t>
      </w:r>
      <w:r>
        <w:rPr>
          <w:rFonts w:hint="eastAsia"/>
          <w:sz w:val="24"/>
          <w:szCs w:val="24"/>
        </w:rPr>
        <w:t>》</w:t>
      </w:r>
      <w:r>
        <w:rPr>
          <w:sz w:val="24"/>
          <w:szCs w:val="24"/>
        </w:rPr>
        <w:t>GB/T13401-</w:t>
      </w:r>
      <w:r>
        <w:rPr>
          <w:rFonts w:hint="eastAsia"/>
          <w:sz w:val="24"/>
          <w:szCs w:val="24"/>
        </w:rPr>
        <w:t>20</w:t>
      </w:r>
      <w:r>
        <w:rPr>
          <w:sz w:val="24"/>
          <w:szCs w:val="24"/>
        </w:rPr>
        <w:t>17</w:t>
      </w:r>
      <w:r>
        <w:rPr>
          <w:rFonts w:hint="eastAsia"/>
          <w:sz w:val="24"/>
          <w:szCs w:val="24"/>
        </w:rPr>
        <w:t>和《高密度聚乙烯外护管硬质聚氨酯泡沫塑料预制直埋保温管及管件》GB/T29047-2021中的有关规定进行水压试验，试验结果应有自动记录。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.2尺寸公差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.2.1管端壁厚偏差±0.5mm。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.2.2管道的坡口外径、端部内径、端面尺寸等公差要求符合《钢制对焊管件</w:t>
      </w:r>
      <w:r>
        <w:rPr>
          <w:sz w:val="24"/>
          <w:szCs w:val="24"/>
        </w:rPr>
        <w:t xml:space="preserve"> 技术规范</w:t>
      </w:r>
      <w:r>
        <w:rPr>
          <w:rFonts w:hint="eastAsia"/>
          <w:sz w:val="24"/>
          <w:szCs w:val="24"/>
        </w:rPr>
        <w:t>》</w:t>
      </w:r>
      <w:r>
        <w:rPr>
          <w:sz w:val="24"/>
          <w:szCs w:val="24"/>
        </w:rPr>
        <w:t>GB/T13401-</w:t>
      </w:r>
      <w:r>
        <w:rPr>
          <w:rFonts w:hint="eastAsia"/>
          <w:sz w:val="24"/>
          <w:szCs w:val="24"/>
        </w:rPr>
        <w:t>20</w:t>
      </w:r>
      <w:r>
        <w:rPr>
          <w:sz w:val="24"/>
          <w:szCs w:val="24"/>
        </w:rPr>
        <w:t>17</w:t>
      </w:r>
      <w:r>
        <w:rPr>
          <w:rFonts w:hint="eastAsia"/>
          <w:sz w:val="24"/>
          <w:szCs w:val="24"/>
        </w:rPr>
        <w:t>和《钢制对焊管件</w:t>
      </w:r>
      <w:r>
        <w:rPr>
          <w:sz w:val="24"/>
          <w:szCs w:val="24"/>
        </w:rPr>
        <w:t xml:space="preserve"> 类型与参数</w:t>
      </w:r>
      <w:r>
        <w:rPr>
          <w:rFonts w:hint="eastAsia"/>
          <w:sz w:val="24"/>
          <w:szCs w:val="24"/>
        </w:rPr>
        <w:t>》</w:t>
      </w:r>
      <w:r>
        <w:rPr>
          <w:sz w:val="24"/>
          <w:szCs w:val="24"/>
        </w:rPr>
        <w:t>GB/T12459-</w:t>
      </w:r>
      <w:r>
        <w:rPr>
          <w:rFonts w:hint="eastAsia"/>
          <w:sz w:val="24"/>
          <w:szCs w:val="24"/>
        </w:rPr>
        <w:t>20</w:t>
      </w:r>
      <w:r>
        <w:rPr>
          <w:sz w:val="24"/>
          <w:szCs w:val="24"/>
        </w:rPr>
        <w:t>17</w:t>
      </w:r>
      <w:r>
        <w:rPr>
          <w:rFonts w:hint="eastAsia"/>
          <w:sz w:val="24"/>
          <w:szCs w:val="24"/>
        </w:rPr>
        <w:t>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.3 管端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.3.1管端坡口应符合GB/T985.2-2008的要求，且去除毛刺。坡口形式应为单面对接焊坡口V形组合焊缝。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.3.2距管端100mm长度范围内将内焊缝磨平，管端应无毛刺。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.4 焊接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.4.1制作弯管的母管不允许有对接的环焊缝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.4.2线管壁厚必须具有足够的裕量以满足制作弯管时所带来的外弧侧壁厚的减薄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rPr>
      </w:pPr>
      <w:r>
        <w:rPr>
          <w:sz w:val="24"/>
          <w:szCs w:val="24"/>
        </w:rPr>
        <w:t>1</w:t>
      </w:r>
      <w:r>
        <w:rPr>
          <w:rFonts w:hint="eastAsia"/>
          <w:sz w:val="24"/>
          <w:szCs w:val="24"/>
        </w:rPr>
        <w:t>.7.</w:t>
      </w:r>
      <w:r>
        <w:rPr>
          <w:sz w:val="24"/>
          <w:szCs w:val="24"/>
        </w:rPr>
        <w:t>2</w:t>
      </w:r>
      <w:r>
        <w:rPr>
          <w:rFonts w:hint="eastAsia"/>
          <w:sz w:val="24"/>
          <w:szCs w:val="24"/>
        </w:rPr>
        <w:t xml:space="preserve">.4.3管件的所有焊缝必须100% </w:t>
      </w:r>
      <w:r>
        <w:rPr>
          <w:rFonts w:hint="eastAsia"/>
          <w:b/>
          <w:bCs/>
          <w:sz w:val="24"/>
          <w:szCs w:val="24"/>
        </w:rPr>
        <w:t>X射线，焊缝应不低于NB/T47013.2-2015中Ⅱ级焊缝标准。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2.4</w:t>
      </w:r>
      <w:r>
        <w:rPr>
          <w:rFonts w:hint="eastAsia"/>
          <w:sz w:val="24"/>
          <w:szCs w:val="24"/>
        </w:rPr>
        <w:t>.4管件所有焊接坡口的制备和焊缝的焊接程序必须符合《钢制对焊管件</w:t>
      </w:r>
      <w:r>
        <w:rPr>
          <w:sz w:val="24"/>
          <w:szCs w:val="24"/>
        </w:rPr>
        <w:t xml:space="preserve"> 技术规范</w:t>
      </w:r>
      <w:r>
        <w:rPr>
          <w:rFonts w:hint="eastAsia"/>
          <w:sz w:val="24"/>
          <w:szCs w:val="24"/>
        </w:rPr>
        <w:t>》</w:t>
      </w:r>
      <w:r>
        <w:rPr>
          <w:sz w:val="24"/>
          <w:szCs w:val="24"/>
        </w:rPr>
        <w:t>GB/T13401-</w:t>
      </w:r>
      <w:r>
        <w:rPr>
          <w:rFonts w:hint="eastAsia"/>
          <w:sz w:val="24"/>
          <w:szCs w:val="24"/>
        </w:rPr>
        <w:t>20</w:t>
      </w:r>
      <w:r>
        <w:rPr>
          <w:sz w:val="24"/>
          <w:szCs w:val="24"/>
        </w:rPr>
        <w:t>17</w:t>
      </w:r>
      <w:r>
        <w:rPr>
          <w:rFonts w:hint="eastAsia"/>
          <w:sz w:val="24"/>
          <w:szCs w:val="24"/>
        </w:rPr>
        <w:t xml:space="preserve"> 和《压力容器》GB150-2011中的有关规定。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5</w:t>
      </w:r>
      <w:r>
        <w:rPr>
          <w:rFonts w:hint="eastAsia"/>
          <w:sz w:val="24"/>
          <w:szCs w:val="24"/>
        </w:rPr>
        <w:t>预制直埋保温管件的保温应符合GB/T29047-2012的要求。预制管件要求外护管能随钢管的变形而变形，不影响工作性能及使用寿命。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6</w:t>
      </w:r>
      <w:r>
        <w:rPr>
          <w:rFonts w:hint="eastAsia"/>
          <w:sz w:val="24"/>
          <w:szCs w:val="24"/>
        </w:rPr>
        <w:t>所有直埋敷设的保温管件应在工厂预先制造，保护层和保温层的物理机械性能应不低于直管。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7</w:t>
      </w:r>
      <w:r>
        <w:rPr>
          <w:rFonts w:hint="eastAsia"/>
          <w:sz w:val="24"/>
          <w:szCs w:val="24"/>
        </w:rPr>
        <w:t>所有直埋敷设的保温管件必须采用热板焊接工艺或手提式挤出机焊接工艺进行聚乙烯外护管的焊接，确保焊缝强度等同于管材强度。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1.8架空和综合管廊预制热水保温管及管件主要性能指标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架空聚氨酯成品保温管应为工作钢管（管件）、保温层和外护管紧密结合的三位一体整体式结构，保温结构的性能应能够承受供热钢管由于供热介质温差产生的剪切力，保证架空聚氨酯成品保温管的完整性且不被破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8</w:t>
      </w:r>
      <w:r>
        <w:rPr>
          <w:sz w:val="24"/>
          <w:szCs w:val="24"/>
        </w:rPr>
        <w:t>.1</w:t>
      </w:r>
      <w:r>
        <w:rPr>
          <w:rFonts w:hint="eastAsia"/>
          <w:sz w:val="24"/>
          <w:szCs w:val="24"/>
        </w:rPr>
        <w:t xml:space="preserve"> 执行标准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预制架空保温管和管件必须符合《高密度聚乙烯外护管硬质聚氨酯泡沫塑料预制直埋保温管及管件》GB/T29047及《硬质聚氨酯喷涂聚乙烯缠绕预制直埋保温管》GB/T34611-2017标准。管廊内《架空和综合管廊预制热水保温管及管件》T/CAHA</w:t>
      </w:r>
      <w:r>
        <w:rPr>
          <w:sz w:val="24"/>
          <w:szCs w:val="24"/>
        </w:rPr>
        <w:t xml:space="preserve"> 1-2019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8</w:t>
      </w:r>
      <w:r>
        <w:rPr>
          <w:sz w:val="24"/>
          <w:szCs w:val="24"/>
        </w:rPr>
        <w:t>.2钢管、管件及保温等技术要求同预制直埋保温管要求相同。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1.8.3保温材料的耐火级别不低于B1级。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8</w:t>
      </w:r>
      <w:r>
        <w:rPr>
          <w:sz w:val="24"/>
          <w:szCs w:val="24"/>
        </w:rPr>
        <w:t>.4</w:t>
      </w:r>
      <w:r>
        <w:rPr>
          <w:rFonts w:hint="eastAsia"/>
          <w:sz w:val="24"/>
          <w:szCs w:val="24"/>
        </w:rPr>
        <w:t xml:space="preserve"> </w:t>
      </w:r>
      <w:r>
        <w:rPr>
          <w:sz w:val="24"/>
          <w:szCs w:val="24"/>
        </w:rPr>
        <w:t>外护技术要求</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8</w:t>
      </w:r>
      <w:r>
        <w:rPr>
          <w:sz w:val="24"/>
          <w:szCs w:val="24"/>
        </w:rPr>
        <w:t>.4.1</w:t>
      </w:r>
      <w:r>
        <w:rPr>
          <w:rFonts w:hint="eastAsia"/>
          <w:sz w:val="24"/>
          <w:szCs w:val="24"/>
        </w:rPr>
        <w:t xml:space="preserve"> 外护管采用螺旋机械自动咬合生产工艺生产，咬口宽度不小于6mm，两个咬口之间板的宽度不小于115mm。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8</w:t>
      </w:r>
      <w:r>
        <w:rPr>
          <w:sz w:val="24"/>
          <w:szCs w:val="24"/>
        </w:rPr>
        <w:t>.4.2</w:t>
      </w:r>
      <w:r>
        <w:rPr>
          <w:rFonts w:hint="eastAsia"/>
          <w:sz w:val="24"/>
          <w:szCs w:val="24"/>
        </w:rPr>
        <w:t xml:space="preserve"> 外护管采用镀锌铁皮，外护管的壁厚为</w:t>
      </w:r>
      <w:r>
        <w:rPr>
          <w:sz w:val="24"/>
          <w:szCs w:val="24"/>
        </w:rPr>
        <w:t>1.5</w:t>
      </w:r>
      <w:r>
        <w:rPr>
          <w:rFonts w:hint="eastAsia"/>
          <w:sz w:val="24"/>
          <w:szCs w:val="24"/>
        </w:rPr>
        <w:t>mm。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1.9提交报告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厂家应向买家提供由国家权威机构检测的型式试验检验报告, 包括老化试验、轴向剪切强度试验、保温层导热系数、保温层与外护层机械强度、保温管蠕变等检验报告。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1.10其他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厂家报价应包含运输费用、保温补口和税金。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注：详细管道及管件参数、数量详见“主要材料表”。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二次网预制保温管及管件技术要求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1.1预制直埋保温管设计要求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直埋保温管标及保温管件标准应满足国家行业标准《高密度聚乙烯外护管硬质聚氨脂泡沫塑料预制直埋保温管及管件》（GB/T29047-2021）。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直埋保温管及管件严禁在运输、工地暂存、施工安装期间受潮或雨淋。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eastAsia="zh-CN"/>
        </w:rPr>
        <w:t>响应</w:t>
      </w:r>
      <w:r>
        <w:rPr>
          <w:rFonts w:hint="eastAsia"/>
          <w:sz w:val="24"/>
          <w:szCs w:val="24"/>
        </w:rPr>
        <w:t>人应阐明在直埋保温管及管件制造和检验的每一步如何严格遵守标准。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预制直埋保温管的制造商应保证预制直埋保温管被合成为一个整体。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备注：除了管道接口保温，保温管和保温管件的现场发泡是严格禁止的，只允许使用在工厂预制的保温管和保温管件。否则将被拒标。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设计温度：供水温度50℃，回水温度40℃。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供回水保温管均在 50℃下连续工作年限≥30年，长期耐温达到50℃。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1.2钢管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钢管材料与结构在正常使用条件下，其使用寿命至少30年。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工程供热钢管管径大于DN200的管道，采用螺旋缝埋弧焊钢管，材质为Q235B，质量应符合《低压流体输送用焊接钢管》GB/T3091-2015的要求。管径小于等于DN200的管道采用无缝钢管，管材为钢20，质量应符合《输送流体用无缝钢管》GB/T8163－2018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制造厂家需满足招标方所提供材料表中的规格尺寸及《低压流体输送用焊接钢管》GB/T3091-2015或《输送流体用无缝钢管》GB/T8163－2018中的性能要求。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1.2.1 制造工艺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1.2.1.1采用热轧钢带做管坯，经常温螺旋成形，螺旋缝采用自动埋弧焊法焊接，内外埋弧焊缝各不少于一道。钢带宽度要求大于钢管直径。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1.2.1.2螺旋缝钢管应采用GB/T700-2006中的Q235B钢焊制。无缝钢管材质符合GB/T699-</w:t>
      </w:r>
      <w:r>
        <w:rPr>
          <w:sz w:val="24"/>
          <w:szCs w:val="24"/>
        </w:rPr>
        <w:t>2015</w:t>
      </w:r>
      <w:r>
        <w:rPr>
          <w:rFonts w:hint="eastAsia"/>
          <w:sz w:val="24"/>
          <w:szCs w:val="24"/>
        </w:rPr>
        <w:t>中的钢20。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1.2.2 工艺质量及要求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rPr>
      </w:pPr>
      <w:r>
        <w:rPr>
          <w:rFonts w:hint="eastAsia"/>
          <w:sz w:val="24"/>
          <w:szCs w:val="24"/>
        </w:rPr>
        <w:t>1.2.2.1要求钢管的外径允许尺寸偏差需符合《低压流体输送用焊接钢管》GB/T3091-2015中的标准，供货钢管圆度最大偏差为0.01D。钢管外径用周长法测量。</w:t>
      </w:r>
      <w:r>
        <w:rPr>
          <w:rFonts w:hint="eastAsia"/>
          <w:b/>
          <w:bCs/>
          <w:sz w:val="24"/>
          <w:szCs w:val="24"/>
        </w:rPr>
        <w:t>所有管道壁厚应不低于设计管道壁厚，不应存在负偏差。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1.2.2.2管端应符合《低压流体输送用焊接钢管》GB/T3091-2015的要求。管端应根据GB/T3091-2015做坡口，距管端100mm长度范围内将内焊缝磨平管端应无毛刺。坡口的具体型式由供需双方协商，管端应在工厂进行消磁处理。管端面应垂直于钢管轴线，极限偏差不得大于2.0mm。钢管管端100mm范围内椭圆度不得超过3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1.1.2.3钢管错边不得超过0.1t。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1.1.2.4</w:t>
      </w:r>
      <w:r>
        <w:rPr>
          <w:rFonts w:hint="eastAsia"/>
          <w:b/>
          <w:bCs/>
          <w:sz w:val="24"/>
          <w:szCs w:val="24"/>
        </w:rPr>
        <w:t>每根钢管应由制造厂做静水压试验而无渗漏现象，</w:t>
      </w:r>
      <w:r>
        <w:rPr>
          <w:rFonts w:hint="eastAsia"/>
          <w:sz w:val="24"/>
          <w:szCs w:val="24"/>
        </w:rPr>
        <w:t>静水压试验的试验压力保持时间不少于10s。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1.1.2.5工作管两端需留有250mm的非保温区，端面应采取临时性密封。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1.1.2.6保护垫层材料除应满足相应的产品标准外，在使用年限内还应满足耐温、耐磨的要求。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1.1.2.7钢管的定尺长度为12m，长度偏差为-20/+50mm。无缝管要求最短6米，不定尺。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1.1.2.8在一段钢管中，提交的钢管不允许有对接焊缝。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1.1.3无损检验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钢管的所有焊缝需进行100% X射线检测，焊缝应不低于NB/T47013.2-2015中Ⅱ级焊缝标准。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1.1.4、外观检查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1.1.4.1钢管应逐根检查表面质量。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1.1.4.2钢管表面不得有裂缝、结疤、折叠以及其它深度超过标称壁厚下偏差的缺陷。对无法判明深度的缺陷，应采用修磨法完全清除，然后进行测量。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1.1.4.3对于钢管上的分层、夹杂、焊缝余高、摔坑等需按GB/T3091-2015中的要求执行。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1.1.4.4焊缝不得有裂纹、断弧、烧穿和弧坑等缺陷。焊缝外形应均匀规整，过渡平缓。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1.1.5试验方法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1.1.5.1化学成分分析方法应按照GB/T223.5，GB/T223.58，GB/T223.59，GB/T223.68，GB/T223.69的分析结果为准。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1.1.5.2拉伸试验应按照GB/T2651的规定进行，试验温度为常温。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1.1.5.3钢管试验压力应使管壁上产生母材最小屈服强度的90%的环向应力。 试验压力应维持至少20秒钟，管子不得有泄漏和残余变形。试验结果应自动记录。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1.1.6除锈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rPr>
      </w:pPr>
      <w:r>
        <w:rPr>
          <w:rFonts w:hint="eastAsia"/>
          <w:sz w:val="24"/>
          <w:szCs w:val="24"/>
        </w:rPr>
        <w:t>钢管被保温之前，其表面的锈蚀度应符合GB/T8923的A、B、C 的规定，外表面不能有坑。</w:t>
      </w:r>
      <w:r>
        <w:rPr>
          <w:rFonts w:hint="eastAsia"/>
          <w:b/>
          <w:bCs/>
          <w:sz w:val="24"/>
          <w:szCs w:val="24"/>
        </w:rPr>
        <w:t>钢管外表面必须于聚氨酯喷涂当天在保温管生产厂进行抛丸处理，抛丸等级为Sa2.5级。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其它未说明直埋保温管及管件标准应满足国家行业标准《城镇供热直埋热水管道技术规程》CJJ/T81-2013和《高密度聚乙烯外护管硬质聚氨酯泡沫塑料预制直埋保温管及管件》GB/T29047-2021的要求。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1.3聚氨酯硬质泡沫塑料保温层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聚氨酯硬质泡沫塑料保温层应满足GB/T34611-2017标准的要求。聚氨酯泡沫塑料保温层应使用不含氟利昂的发泡剂。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泡沫</w:t>
      </w:r>
      <w:r>
        <w:rPr>
          <w:sz w:val="24"/>
          <w:szCs w:val="24"/>
        </w:rPr>
        <w:t>应</w:t>
      </w:r>
      <w:r>
        <w:rPr>
          <w:rFonts w:hint="eastAsia"/>
          <w:sz w:val="24"/>
          <w:szCs w:val="24"/>
        </w:rPr>
        <w:t>具有一定的粘接强度，使钢管、外套管及保温层三者形成一个牢固的整体。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泡沫结构：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泡沫体应无污斑、无收缩分层开裂现象。泡孔应均匀细密。泡沫气孔结构平均径向尺寸应小于</w:t>
      </w:r>
      <w:r>
        <w:rPr>
          <w:sz w:val="24"/>
          <w:szCs w:val="24"/>
        </w:rPr>
        <w:t>0.5mm</w:t>
      </w:r>
      <w:r>
        <w:rPr>
          <w:rFonts w:hint="eastAsia"/>
          <w:sz w:val="24"/>
          <w:szCs w:val="24"/>
        </w:rPr>
        <w:t>，闭孔率不应小于90%。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r>
        <w:rPr>
          <w:rFonts w:hint="eastAsia"/>
          <w:sz w:val="24"/>
          <w:szCs w:val="24"/>
        </w:rPr>
        <w:t>任何位置的密度不得小于6</w:t>
      </w:r>
      <w:r>
        <w:rPr>
          <w:sz w:val="24"/>
          <w:szCs w:val="24"/>
        </w:rPr>
        <w:t>0kg/m</w:t>
      </w:r>
      <w:r>
        <w:rPr>
          <w:rFonts w:hint="eastAsia"/>
          <w:sz w:val="24"/>
          <w:szCs w:val="24"/>
        </w:rPr>
        <w:t>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w:t>
      </w:r>
      <w:r>
        <w:rPr>
          <w:rFonts w:hint="eastAsia"/>
          <w:sz w:val="24"/>
          <w:szCs w:val="24"/>
        </w:rPr>
        <w:t>保温层泡沫径向压缩强度或径向相对变形为</w:t>
      </w:r>
      <w:r>
        <w:rPr>
          <w:sz w:val="24"/>
          <w:szCs w:val="24"/>
        </w:rPr>
        <w:t>10</w:t>
      </w:r>
      <w:r>
        <w:rPr>
          <w:rFonts w:hint="eastAsia"/>
          <w:sz w:val="24"/>
          <w:szCs w:val="24"/>
        </w:rPr>
        <w:t>％时的压缩应力小于</w:t>
      </w:r>
      <w:r>
        <w:rPr>
          <w:sz w:val="24"/>
          <w:szCs w:val="24"/>
        </w:rPr>
        <w:t>0.</w:t>
      </w:r>
      <w:r>
        <w:rPr>
          <w:rFonts w:hint="eastAsia"/>
          <w:sz w:val="24"/>
          <w:szCs w:val="24"/>
        </w:rPr>
        <w:t>35M</w:t>
      </w:r>
      <w:r>
        <w:rPr>
          <w:sz w:val="24"/>
          <w:szCs w:val="24"/>
        </w:rPr>
        <w:t>Pa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w:t>
      </w:r>
      <w:r>
        <w:rPr>
          <w:rFonts w:hint="eastAsia"/>
          <w:sz w:val="24"/>
          <w:szCs w:val="24"/>
        </w:rPr>
        <w:t>未经老化的泡沫层</w:t>
      </w:r>
      <w:r>
        <w:rPr>
          <w:sz w:val="24"/>
          <w:szCs w:val="24"/>
        </w:rPr>
        <w:t>50</w:t>
      </w:r>
      <w:r>
        <w:rPr>
          <w:rFonts w:hint="eastAsia"/>
          <w:sz w:val="24"/>
          <w:szCs w:val="24"/>
        </w:rPr>
        <w:t>℃状态下，导热系数不大于</w:t>
      </w:r>
      <w:r>
        <w:rPr>
          <w:sz w:val="24"/>
          <w:szCs w:val="24"/>
        </w:rPr>
        <w:t>0.033</w:t>
      </w:r>
      <w:r>
        <w:rPr>
          <w:rFonts w:hint="eastAsia"/>
          <w:sz w:val="24"/>
          <w:szCs w:val="24"/>
        </w:rPr>
        <w:t>（</w:t>
      </w:r>
      <w:r>
        <w:rPr>
          <w:sz w:val="24"/>
          <w:szCs w:val="24"/>
        </w:rPr>
        <w:t>W/m</w:t>
      </w:r>
      <w:r>
        <w:rPr>
          <w:rFonts w:hint="eastAsia"/>
          <w:sz w:val="24"/>
          <w:szCs w:val="24"/>
        </w:rPr>
        <w:t>•</w:t>
      </w:r>
      <w:r>
        <w:rPr>
          <w:sz w:val="24"/>
          <w:szCs w:val="24"/>
        </w:rPr>
        <w:t>K</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w:t>
      </w:r>
      <w:r>
        <w:rPr>
          <w:rFonts w:hint="eastAsia"/>
          <w:sz w:val="24"/>
          <w:szCs w:val="24"/>
        </w:rPr>
        <w:t>在保温层任意位置聚氨酯泡沫塑料吸水率不应大于8％。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1.4高密度聚乙烯外套管主要性能指标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.4.1外护管应使用高密度聚乙烯制造，其性能要符合《高密度聚乙烯外护管硬质聚氨酯泡沫塑料预制直埋保温管及管件》GB/T29047-2021的要求，其等级应为PE80及以上等级，</w:t>
      </w:r>
      <w:r>
        <w:rPr>
          <w:rFonts w:hint="eastAsia"/>
          <w:b/>
          <w:bCs/>
          <w:sz w:val="24"/>
          <w:szCs w:val="24"/>
        </w:rPr>
        <w:t>原料中不得掺用回收料、再生料，100%纯原生料制成。如卖方原料不符合要求（掺用回收料或再生料等其它非纯原料的材料），买方有权取消其供货权，并要求对整个工程进行赔偿。</w:t>
      </w:r>
      <w:r>
        <w:rPr>
          <w:rFonts w:hint="eastAsia"/>
          <w:sz w:val="24"/>
          <w:szCs w:val="24"/>
        </w:rPr>
        <w:t>聚乙烯树脂密度应大于935Kg/m3，其余添加原料符合EN253：2003 +A2:2006中第4.3.3.1条规定。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1.4.2外观为黑色，内外表面目测不应有影响其性能的沟槽。不允许有气泡、裂纹、凹陷、杂质、颜色不均等缺陷。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1.4.3碳黑含量符合EN253：2003 +A2:2006中第4.3.3.1条规定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1.4.4两个外护管焊接时熔体流动速率之差≤0.5g/10min。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1.4.5外护管原材料的热稳定性应满足EN253：2003 +A2:2006中第4.3.1.3条规定。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1.4.6外护管内表面应电晕处理，圆周75%的长度上应达到50dyn/cm以上的表面张力。电晕处理必须于聚氨酯喷涂当天在保温管生产厂进行。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1.4.7外护管的长期机械性能应符合下表规定。</w:t>
      </w:r>
    </w:p>
    <w:tbl>
      <w:tblPr>
        <w:tblStyle w:val="25"/>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3006"/>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拉伸力（MPa）</w:t>
            </w:r>
          </w:p>
        </w:tc>
        <w:tc>
          <w:tcPr>
            <w:tcW w:w="30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最短屈服时间（h）</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试验温度（℃）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4</w:t>
            </w:r>
          </w:p>
        </w:tc>
        <w:tc>
          <w:tcPr>
            <w:tcW w:w="30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2000</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80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1.4.8、外护管应满足工作钢管在130℃长期运行时保温外护层不得开裂。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密度：              ≥944kg/m3       导热系数：0.43W/m.K</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断裂伸长率：        ≥350%           热膨胀系数：180×10-6L/℃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屈服强度：          ≥19MPa          长期机械性能：＞1500小时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纵向回缩率：        ≤3%             耐环境应力开裂：＞1000小时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1.5保温接头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制造商除提供直埋保温管外，还应负责所提供的直埋保温管现场施工的接头保温，接头保温数量需考虑施工过程中保温管的裁截增加数量。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直埋保温管接头由直埋保温管供应制造商或有资质的单位在施工现场制作，接口不得采用手工发泡，泡沫密度大于</w:t>
      </w:r>
      <w:r>
        <w:rPr>
          <w:sz w:val="24"/>
          <w:szCs w:val="24"/>
        </w:rPr>
        <w:t>50kg/m3</w:t>
      </w:r>
      <w:r>
        <w:rPr>
          <w:rFonts w:hint="eastAsia"/>
          <w:sz w:val="24"/>
          <w:szCs w:val="24"/>
        </w:rPr>
        <w:t>，发泡前应对接头处进行气密性试验，试验压力及合格标准符合《城镇供热直埋热水管道技术规程》</w:t>
      </w:r>
      <w:r>
        <w:rPr>
          <w:sz w:val="24"/>
          <w:szCs w:val="24"/>
        </w:rPr>
        <w:t>CJJ/T81-2013</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保温接头的制造，保温接头要求密闭不渗水，并能整体承受管道自身轴向运动的应力。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r>
        <w:rPr>
          <w:rFonts w:hint="eastAsia"/>
          <w:sz w:val="24"/>
          <w:szCs w:val="24"/>
        </w:rPr>
        <w:t>保温接头采用电熔焊式卷筒接头及热收缩带双重做法。热缩带应能覆盖电熔焊式卷筒接头的所用焊缝。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w:t>
      </w:r>
      <w:r>
        <w:rPr>
          <w:rFonts w:hint="eastAsia"/>
          <w:sz w:val="24"/>
          <w:szCs w:val="24"/>
        </w:rPr>
        <w:t>热收缩带的剥离强度不小于</w:t>
      </w:r>
      <w:r>
        <w:rPr>
          <w:sz w:val="24"/>
          <w:szCs w:val="24"/>
        </w:rPr>
        <w:t>60N/cm</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1.6预制直埋保温管主要性能指标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1.6.1保温管的性能应符合GB/T29047-2021中的规定。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1.6.2保温层和外护层厚度不能小于材料表中的数值。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1.6.3聚乙烯外护管发泡前后外径增大率不大于2%。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1.6.4预期寿命：预制直埋保温管的整体性能要求在介质为50℃高温热水，系统工作压力1.6MPa的条件下，直埋保温管及管件连续工作使用寿命为30年以上。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1.6.5轴向剪切强度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保温管应根据GB/T29047-2021进行轴向剪切和径向剪切试验。老化后的最小剪切强度满足下表要求。</w:t>
      </w:r>
    </w:p>
    <w:tbl>
      <w:tblPr>
        <w:tblStyle w:val="25"/>
        <w:tblW w:w="7915" w:type="dxa"/>
        <w:tblInd w:w="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1823"/>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试验温度（℃）</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试验方法</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最小剪切强度（MPa）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6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23±2℃</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5.4.3.2</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140±2℃</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5.4.3.3</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0.08</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1.6.6预制保温管及管件的未保温部分（即自由端）长度为250±10mm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1.7保温管件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执行规范：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《钢制对焊管件</w:t>
      </w:r>
      <w:r>
        <w:rPr>
          <w:sz w:val="24"/>
          <w:szCs w:val="24"/>
        </w:rPr>
        <w:t xml:space="preserve"> 技术规范</w:t>
      </w:r>
      <w:r>
        <w:rPr>
          <w:rFonts w:hint="eastAsia"/>
          <w:sz w:val="24"/>
          <w:szCs w:val="24"/>
        </w:rPr>
        <w:t>》</w:t>
      </w:r>
      <w:r>
        <w:rPr>
          <w:sz w:val="24"/>
          <w:szCs w:val="24"/>
        </w:rPr>
        <w:t>GB/T13401-</w:t>
      </w:r>
      <w:r>
        <w:rPr>
          <w:rFonts w:hint="eastAsia"/>
          <w:sz w:val="24"/>
          <w:szCs w:val="24"/>
        </w:rPr>
        <w:t>20</w:t>
      </w:r>
      <w:r>
        <w:rPr>
          <w:sz w:val="24"/>
          <w:szCs w:val="24"/>
        </w:rPr>
        <w:t>17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《钢制对焊管件</w:t>
      </w:r>
      <w:r>
        <w:rPr>
          <w:sz w:val="24"/>
          <w:szCs w:val="24"/>
        </w:rPr>
        <w:t xml:space="preserve"> 类型与参数</w:t>
      </w:r>
      <w:r>
        <w:rPr>
          <w:rFonts w:hint="eastAsia"/>
          <w:sz w:val="24"/>
          <w:szCs w:val="24"/>
        </w:rPr>
        <w:t>》</w:t>
      </w:r>
      <w:r>
        <w:rPr>
          <w:sz w:val="24"/>
          <w:szCs w:val="24"/>
        </w:rPr>
        <w:t>GB/T12459-</w:t>
      </w:r>
      <w:r>
        <w:rPr>
          <w:rFonts w:hint="eastAsia"/>
          <w:sz w:val="24"/>
          <w:szCs w:val="24"/>
        </w:rPr>
        <w:t>20</w:t>
      </w:r>
      <w:r>
        <w:rPr>
          <w:sz w:val="24"/>
          <w:szCs w:val="24"/>
        </w:rPr>
        <w:t>17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《高密度聚乙烯外护管硬质聚氨酯泡沫塑料预制直埋保温管及管件》GB/T29047-2021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.7.1材料要求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管件使用钢材材质为钢20或Q235B钢</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钢</w:t>
      </w:r>
      <w:r>
        <w:rPr>
          <w:rFonts w:hint="eastAsia"/>
          <w:sz w:val="24"/>
          <w:szCs w:val="24"/>
        </w:rPr>
        <w:t>板制</w:t>
      </w:r>
      <w:r>
        <w:rPr>
          <w:sz w:val="24"/>
          <w:szCs w:val="24"/>
        </w:rPr>
        <w:t>对焊管件</w:t>
      </w:r>
      <w:r>
        <w:rPr>
          <w:rFonts w:hint="eastAsia"/>
          <w:sz w:val="24"/>
          <w:szCs w:val="24"/>
        </w:rPr>
        <w:t>钢板标准符合GB/T710-2008和GB/T711-2008。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 xml:space="preserve"> 制造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1</w:t>
      </w:r>
      <w:r>
        <w:rPr>
          <w:rFonts w:hint="eastAsia"/>
          <w:sz w:val="24"/>
          <w:szCs w:val="24"/>
        </w:rPr>
        <w:t>制造工艺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1</w:t>
      </w:r>
      <w:r>
        <w:rPr>
          <w:rFonts w:hint="eastAsia"/>
          <w:sz w:val="24"/>
          <w:szCs w:val="24"/>
        </w:rPr>
        <w:t>.1 管件的制造和检验必须符合《钢制对焊管件</w:t>
      </w:r>
      <w:r>
        <w:rPr>
          <w:sz w:val="24"/>
          <w:szCs w:val="24"/>
        </w:rPr>
        <w:t xml:space="preserve"> 技术规范</w:t>
      </w:r>
      <w:r>
        <w:rPr>
          <w:rFonts w:hint="eastAsia"/>
          <w:sz w:val="24"/>
          <w:szCs w:val="24"/>
        </w:rPr>
        <w:t>》</w:t>
      </w:r>
      <w:r>
        <w:rPr>
          <w:sz w:val="24"/>
          <w:szCs w:val="24"/>
        </w:rPr>
        <w:t>GB/T13401-</w:t>
      </w:r>
      <w:r>
        <w:rPr>
          <w:rFonts w:hint="eastAsia"/>
          <w:sz w:val="24"/>
          <w:szCs w:val="24"/>
        </w:rPr>
        <w:t>20</w:t>
      </w:r>
      <w:r>
        <w:rPr>
          <w:sz w:val="24"/>
          <w:szCs w:val="24"/>
        </w:rPr>
        <w:t>17</w:t>
      </w:r>
      <w:r>
        <w:rPr>
          <w:rFonts w:hint="eastAsia"/>
          <w:sz w:val="24"/>
          <w:szCs w:val="24"/>
        </w:rPr>
        <w:t>和《高密度聚乙烯外护管硬质聚氨酯泡沫塑料预制直埋保温管及管件》GB/T29047-2021中的有关规定。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1</w:t>
      </w:r>
      <w:r>
        <w:rPr>
          <w:rFonts w:hint="eastAsia"/>
          <w:sz w:val="24"/>
          <w:szCs w:val="24"/>
        </w:rPr>
        <w:t>.2弯头和弯管应采用压制弯管或热煨弯管，弯头和弯管两侧直管段长度应符合：公称直径为DN80～DN350，弯曲角度为15°～90°时，直管段长度为250mm；公称直径为DN80～DN350，弯曲角度为1°～15°时，直管段长度为300mm；满足《高密度聚乙烯无缝外护管预制直埋保温管件》GB/T39246-2020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1</w:t>
      </w:r>
      <w:r>
        <w:rPr>
          <w:rFonts w:hint="eastAsia"/>
          <w:sz w:val="24"/>
          <w:szCs w:val="24"/>
        </w:rPr>
        <w:t>.3 三通管件的支管必须拔制，制造时不允许采用对焊方式加工，并且应保证其壁厚不低于直管公称壁厚+2mm。三通强度应满足设计图纸中提出轴向力的要求。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1</w:t>
      </w:r>
      <w:r>
        <w:rPr>
          <w:rFonts w:hint="eastAsia"/>
          <w:sz w:val="24"/>
          <w:szCs w:val="24"/>
        </w:rPr>
        <w:t>.4 钢板制对焊管件本体纵焊缝的对口错边量小于管件壁厚的</w:t>
      </w:r>
      <w:r>
        <w:rPr>
          <w:sz w:val="24"/>
          <w:szCs w:val="24"/>
        </w:rPr>
        <w:t>10</w:t>
      </w:r>
      <w:r>
        <w:rPr>
          <w:rFonts w:hint="eastAsia"/>
          <w:sz w:val="24"/>
          <w:szCs w:val="24"/>
        </w:rPr>
        <w:t>％，且不得大于2</w:t>
      </w:r>
      <w:r>
        <w:rPr>
          <w:sz w:val="24"/>
          <w:szCs w:val="24"/>
        </w:rPr>
        <w:t>mm</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1</w:t>
      </w:r>
      <w:r>
        <w:rPr>
          <w:rFonts w:hint="eastAsia"/>
          <w:sz w:val="24"/>
          <w:szCs w:val="24"/>
        </w:rPr>
        <w:t>.5管件应按《钢制对焊管件</w:t>
      </w:r>
      <w:r>
        <w:rPr>
          <w:sz w:val="24"/>
          <w:szCs w:val="24"/>
        </w:rPr>
        <w:t xml:space="preserve"> 技术规范</w:t>
      </w:r>
      <w:r>
        <w:rPr>
          <w:rFonts w:hint="eastAsia"/>
          <w:sz w:val="24"/>
          <w:szCs w:val="24"/>
        </w:rPr>
        <w:t>》</w:t>
      </w:r>
      <w:r>
        <w:rPr>
          <w:sz w:val="24"/>
          <w:szCs w:val="24"/>
        </w:rPr>
        <w:t>GB/T13401-</w:t>
      </w:r>
      <w:r>
        <w:rPr>
          <w:rFonts w:hint="eastAsia"/>
          <w:sz w:val="24"/>
          <w:szCs w:val="24"/>
        </w:rPr>
        <w:t>20</w:t>
      </w:r>
      <w:r>
        <w:rPr>
          <w:sz w:val="24"/>
          <w:szCs w:val="24"/>
        </w:rPr>
        <w:t>17</w:t>
      </w:r>
      <w:r>
        <w:rPr>
          <w:rFonts w:hint="eastAsia"/>
          <w:sz w:val="24"/>
          <w:szCs w:val="24"/>
        </w:rPr>
        <w:t>和《高密度聚乙烯外护管硬质聚氨酯泡沫塑料预制直埋保温管及管件》GB/T29047-2021中的有关规定进行水压试验，试验结果应有自动记录。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.2尺寸公差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.2.1管端壁厚偏差±0.5mm。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.2.2管道的坡口外径、端部内径、端面尺寸等公差要求符合《钢制对焊管件</w:t>
      </w:r>
      <w:r>
        <w:rPr>
          <w:sz w:val="24"/>
          <w:szCs w:val="24"/>
        </w:rPr>
        <w:t xml:space="preserve"> 技术规范</w:t>
      </w:r>
      <w:r>
        <w:rPr>
          <w:rFonts w:hint="eastAsia"/>
          <w:sz w:val="24"/>
          <w:szCs w:val="24"/>
        </w:rPr>
        <w:t>》</w:t>
      </w:r>
      <w:r>
        <w:rPr>
          <w:sz w:val="24"/>
          <w:szCs w:val="24"/>
        </w:rPr>
        <w:t>GB/T13401-</w:t>
      </w:r>
      <w:r>
        <w:rPr>
          <w:rFonts w:hint="eastAsia"/>
          <w:sz w:val="24"/>
          <w:szCs w:val="24"/>
        </w:rPr>
        <w:t>20</w:t>
      </w:r>
      <w:r>
        <w:rPr>
          <w:sz w:val="24"/>
          <w:szCs w:val="24"/>
        </w:rPr>
        <w:t>17</w:t>
      </w:r>
      <w:r>
        <w:rPr>
          <w:rFonts w:hint="eastAsia"/>
          <w:sz w:val="24"/>
          <w:szCs w:val="24"/>
        </w:rPr>
        <w:t>和《钢制对焊管件</w:t>
      </w:r>
      <w:r>
        <w:rPr>
          <w:sz w:val="24"/>
          <w:szCs w:val="24"/>
        </w:rPr>
        <w:t xml:space="preserve"> 类型与参数</w:t>
      </w:r>
      <w:r>
        <w:rPr>
          <w:rFonts w:hint="eastAsia"/>
          <w:sz w:val="24"/>
          <w:szCs w:val="24"/>
        </w:rPr>
        <w:t>》</w:t>
      </w:r>
      <w:r>
        <w:rPr>
          <w:sz w:val="24"/>
          <w:szCs w:val="24"/>
        </w:rPr>
        <w:t>GB/T12459-</w:t>
      </w:r>
      <w:r>
        <w:rPr>
          <w:rFonts w:hint="eastAsia"/>
          <w:sz w:val="24"/>
          <w:szCs w:val="24"/>
        </w:rPr>
        <w:t>20</w:t>
      </w:r>
      <w:r>
        <w:rPr>
          <w:sz w:val="24"/>
          <w:szCs w:val="24"/>
        </w:rPr>
        <w:t>17</w:t>
      </w:r>
      <w:r>
        <w:rPr>
          <w:rFonts w:hint="eastAsia"/>
          <w:sz w:val="24"/>
          <w:szCs w:val="24"/>
        </w:rPr>
        <w:t>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.3 管端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.3.1管端坡口应符合GB/T985.2-2008的要求，且去除毛刺。坡口形式应为单面对接焊坡口V形组合焊缝。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.3.2距管端100mm长度范围内将内焊缝磨平，管端应无毛刺。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.4 焊接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.4.1制作弯管的母管不允许有对接的环焊缝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.4.2线管壁厚必须具有足够的裕量以满足制作弯管时所带来的外弧侧壁厚的减薄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rPr>
      </w:pPr>
      <w:r>
        <w:rPr>
          <w:sz w:val="24"/>
          <w:szCs w:val="24"/>
        </w:rPr>
        <w:t>1</w:t>
      </w:r>
      <w:r>
        <w:rPr>
          <w:rFonts w:hint="eastAsia"/>
          <w:sz w:val="24"/>
          <w:szCs w:val="24"/>
        </w:rPr>
        <w:t>.7.</w:t>
      </w:r>
      <w:r>
        <w:rPr>
          <w:sz w:val="24"/>
          <w:szCs w:val="24"/>
        </w:rPr>
        <w:t>2</w:t>
      </w:r>
      <w:r>
        <w:rPr>
          <w:rFonts w:hint="eastAsia"/>
          <w:sz w:val="24"/>
          <w:szCs w:val="24"/>
        </w:rPr>
        <w:t xml:space="preserve">.4.3管件的所有焊缝必须100% </w:t>
      </w:r>
      <w:r>
        <w:rPr>
          <w:rFonts w:hint="eastAsia"/>
          <w:b/>
          <w:bCs/>
          <w:sz w:val="24"/>
          <w:szCs w:val="24"/>
        </w:rPr>
        <w:t>X射线，焊缝应不低于NB/T47013.2-2015中Ⅱ级焊缝标准。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2.4</w:t>
      </w:r>
      <w:r>
        <w:rPr>
          <w:rFonts w:hint="eastAsia"/>
          <w:sz w:val="24"/>
          <w:szCs w:val="24"/>
        </w:rPr>
        <w:t>.4管件所有焊接坡口的制备和焊缝的焊接程序必须符合《钢制对焊管件</w:t>
      </w:r>
      <w:r>
        <w:rPr>
          <w:sz w:val="24"/>
          <w:szCs w:val="24"/>
        </w:rPr>
        <w:t xml:space="preserve"> 技术规范</w:t>
      </w:r>
      <w:r>
        <w:rPr>
          <w:rFonts w:hint="eastAsia"/>
          <w:sz w:val="24"/>
          <w:szCs w:val="24"/>
        </w:rPr>
        <w:t>》</w:t>
      </w:r>
      <w:r>
        <w:rPr>
          <w:sz w:val="24"/>
          <w:szCs w:val="24"/>
        </w:rPr>
        <w:t>GB/T13401-</w:t>
      </w:r>
      <w:r>
        <w:rPr>
          <w:rFonts w:hint="eastAsia"/>
          <w:sz w:val="24"/>
          <w:szCs w:val="24"/>
        </w:rPr>
        <w:t>20</w:t>
      </w:r>
      <w:r>
        <w:rPr>
          <w:sz w:val="24"/>
          <w:szCs w:val="24"/>
        </w:rPr>
        <w:t>17</w:t>
      </w:r>
      <w:r>
        <w:rPr>
          <w:rFonts w:hint="eastAsia"/>
          <w:sz w:val="24"/>
          <w:szCs w:val="24"/>
        </w:rPr>
        <w:t xml:space="preserve"> 和《压力容器》GB150-2011中的有关规定。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5</w:t>
      </w:r>
      <w:r>
        <w:rPr>
          <w:rFonts w:hint="eastAsia"/>
          <w:sz w:val="24"/>
          <w:szCs w:val="24"/>
        </w:rPr>
        <w:t>预制直埋保温管件的保温应符合GB/T29047-2012的要求。预制管件要求外护管能随钢管的变形而变形，不影响工作性能及使用寿命。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6</w:t>
      </w:r>
      <w:r>
        <w:rPr>
          <w:rFonts w:hint="eastAsia"/>
          <w:sz w:val="24"/>
          <w:szCs w:val="24"/>
        </w:rPr>
        <w:t>所有直埋敷设的保温管件应在工厂预先制造，保护层和保温层的物理机械性能应不低于直管。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.7.</w:t>
      </w:r>
      <w:r>
        <w:rPr>
          <w:sz w:val="24"/>
          <w:szCs w:val="24"/>
        </w:rPr>
        <w:t>2</w:t>
      </w:r>
      <w:r>
        <w:rPr>
          <w:rFonts w:hint="eastAsia"/>
          <w:sz w:val="24"/>
          <w:szCs w:val="24"/>
        </w:rPr>
        <w:t>.</w:t>
      </w:r>
      <w:r>
        <w:rPr>
          <w:sz w:val="24"/>
          <w:szCs w:val="24"/>
        </w:rPr>
        <w:t>7</w:t>
      </w:r>
      <w:r>
        <w:rPr>
          <w:rFonts w:hint="eastAsia"/>
          <w:sz w:val="24"/>
          <w:szCs w:val="24"/>
        </w:rPr>
        <w:t>所有直埋敷设的保温管件必须采用热板焊接工艺或手提式挤出机焊接工艺进行聚乙烯外护管的焊接，确保焊缝强度等同于管材强度。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1.8架空预制热水保温管及管件主要性能指标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架空聚氨酯成品保温管应为工作钢管（管件）、保温层和外护管紧密结合的三位一体整体式结构，保温结构的性能应能够承受供热钢管由于供热介质温差产生的剪切力，保证架空聚氨酯成品保温管的完整性且不被破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8</w:t>
      </w:r>
      <w:r>
        <w:rPr>
          <w:sz w:val="24"/>
          <w:szCs w:val="24"/>
        </w:rPr>
        <w:t>.1</w:t>
      </w:r>
      <w:r>
        <w:rPr>
          <w:rFonts w:hint="eastAsia"/>
          <w:sz w:val="24"/>
          <w:szCs w:val="24"/>
        </w:rPr>
        <w:t xml:space="preserve"> 执行标准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预制架空保温管和管件必须符合《高密度聚乙烯外护管硬质聚氨酯泡沫塑料预制直埋保温管及管件》GB/T29047及《架空和综合管廊预制热水保温管及管件》T/CAHA</w:t>
      </w:r>
      <w:r>
        <w:rPr>
          <w:sz w:val="24"/>
          <w:szCs w:val="24"/>
        </w:rPr>
        <w:t xml:space="preserve"> 1-2019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8</w:t>
      </w:r>
      <w:r>
        <w:rPr>
          <w:sz w:val="24"/>
          <w:szCs w:val="24"/>
        </w:rPr>
        <w:t>.2钢管、管件及保温等技术要求同预制直埋保温管要求相同。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1.8.3保温材料的耐火级别不低于B1级。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8</w:t>
      </w:r>
      <w:r>
        <w:rPr>
          <w:sz w:val="24"/>
          <w:szCs w:val="24"/>
        </w:rPr>
        <w:t>.4</w:t>
      </w:r>
      <w:r>
        <w:rPr>
          <w:rFonts w:hint="eastAsia"/>
          <w:sz w:val="24"/>
          <w:szCs w:val="24"/>
        </w:rPr>
        <w:t xml:space="preserve"> </w:t>
      </w:r>
      <w:r>
        <w:rPr>
          <w:sz w:val="24"/>
          <w:szCs w:val="24"/>
        </w:rPr>
        <w:t>外护技术要求</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8</w:t>
      </w:r>
      <w:r>
        <w:rPr>
          <w:sz w:val="24"/>
          <w:szCs w:val="24"/>
        </w:rPr>
        <w:t>.4.1</w:t>
      </w:r>
      <w:r>
        <w:rPr>
          <w:rFonts w:hint="eastAsia"/>
          <w:sz w:val="24"/>
          <w:szCs w:val="24"/>
        </w:rPr>
        <w:t xml:space="preserve"> 外护管采用螺旋机械自动咬合生产工艺生产，咬口宽度不小于6mm，两个咬口之间板的宽度不小于115mm。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8</w:t>
      </w:r>
      <w:r>
        <w:rPr>
          <w:sz w:val="24"/>
          <w:szCs w:val="24"/>
        </w:rPr>
        <w:t>.4.2</w:t>
      </w:r>
      <w:r>
        <w:rPr>
          <w:rFonts w:hint="eastAsia"/>
          <w:sz w:val="24"/>
          <w:szCs w:val="24"/>
        </w:rPr>
        <w:t xml:space="preserve"> 外护管采用热镀锌钢板，热镀锌钢板应符合GB/T2518-2019的规定。外护管的壁厚应符合设计要求。壁厚偏差应符合GB/T12754、GB/T3280、GB/T2518、GB/T3880.3的规定。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1.9提交报告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厂家应向买家提供由国家权威机构检测的型式试验检验报告, 包括老化试验、轴向剪切强度试验、保温层导热系数、保温层与外护层机械强度、保温管蠕变等检验报告。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1.10其他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厂家报价应包含运输费用、保温补口和税金。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注：详细管道及管件参数、数量详见“主要材料表”。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sectPr>
      <w:pgSz w:w="11906" w:h="16838"/>
      <w:pgMar w:top="1380" w:right="1558" w:bottom="1440" w:left="1797" w:header="851" w:footer="666"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449641"/>
    </w:sdtPr>
    <w:sdtContent>
      <w:p>
        <w:pPr>
          <w:pStyle w:val="16"/>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rPr>
        <w:rStyle w:val="28"/>
      </w:rPr>
      <w:fldChar w:fldCharType="begin"/>
    </w:r>
    <w:r>
      <w:rPr>
        <w:rStyle w:val="28"/>
      </w:rPr>
      <w:instrText xml:space="preserve">PAGE  </w:instrText>
    </w:r>
    <w:r>
      <w:fldChar w:fldCharType="end"/>
    </w:r>
  </w:p>
  <w:p>
    <w:pPr>
      <w:pStyle w:val="16"/>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7160" cy="137795"/>
              <wp:effectExtent l="0" t="0" r="0" b="0"/>
              <wp:wrapNone/>
              <wp:docPr id="1" name="文本框 5"/>
              <wp:cNvGraphicFramePr/>
              <a:graphic xmlns:a="http://schemas.openxmlformats.org/drawingml/2006/main">
                <a:graphicData uri="http://schemas.microsoft.com/office/word/2010/wordprocessingShape">
                  <wps:wsp>
                    <wps:cNvSpPr/>
                    <wps:spPr>
                      <a:xfrm>
                        <a:off x="0" y="0"/>
                        <a:ext cx="137317" cy="138074"/>
                      </a:xfrm>
                      <a:prstGeom prst="rect">
                        <a:avLst/>
                      </a:prstGeom>
                      <a:noFill/>
                      <a:ln w="15875" cap="flat" cmpd="sng">
                        <a:noFill/>
                        <a:prstDash val="solid"/>
                        <a:round/>
                      </a:ln>
                      <a:effectLst/>
                    </wps:spPr>
                    <wps:txbx>
                      <w:txbxContent>
                        <w:p>
                          <w:pPr>
                            <w:pStyle w:val="16"/>
                          </w:pPr>
                          <w:r>
                            <w:fldChar w:fldCharType="begin"/>
                          </w:r>
                          <w:r>
                            <w:instrText xml:space="preserve"> PAGE  \* MERGEFORMAT </w:instrText>
                          </w:r>
                          <w:r>
                            <w:fldChar w:fldCharType="separate"/>
                          </w:r>
                          <w:r>
                            <w:t>24</w:t>
                          </w:r>
                          <w:r>
                            <w:fldChar w:fldCharType="end"/>
                          </w:r>
                        </w:p>
                      </w:txbxContent>
                    </wps:txbx>
                    <wps:bodyPr vert="horz" wrap="none" lIns="0" tIns="0" rIns="0" bIns="0" anchor="t" anchorCtr="0" upright="1">
                      <a:spAutoFit/>
                    </wps:bodyPr>
                  </wps:wsp>
                </a:graphicData>
              </a:graphic>
            </wp:anchor>
          </w:drawing>
        </mc:Choice>
        <mc:Fallback>
          <w:pict>
            <v:rect id="文本框 5" o:spid="_x0000_s1026" o:spt="1" style="position:absolute;left:0pt;margin-top:0pt;height:10.85pt;width:10.8pt;mso-position-horizontal:center;mso-position-horizontal-relative:margin;mso-wrap-style:none;z-index:251659264;mso-width-relative:page;mso-height-relative:page;" filled="f" stroked="f" coordsize="21600,21600" o:gfxdata="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dnRdtMAAAADAQAADwAAAAAAAAABACAAAAAiAAAAZHJz&#10;L2Rvd25yZXYueG1sUEsBAhQAFAAAAAgAh07iQA4K4nYJAgAAAwQAAA4AAAAAAAAAAQAgAAAAIgEA&#10;AGRycy9lMm9Eb2MueG1sUEsFBgAAAAAGAAYAWQEAAJ0FAAAAAA==&#10;">
              <v:fill on="f" focussize="0,0"/>
              <v:stroke on="f" weight="1.25pt" joinstyle="round"/>
              <v:imagedata o:title=""/>
              <o:lock v:ext="edit" aspectratio="f"/>
              <v:textbox inset="0mm,0mm,0mm,0mm" style="mso-fit-shape-to-text:t;">
                <w:txbxContent>
                  <w:p>
                    <w:pPr>
                      <w:pStyle w:val="16"/>
                    </w:pPr>
                    <w:r>
                      <w:fldChar w:fldCharType="begin"/>
                    </w:r>
                    <w:r>
                      <w:instrText xml:space="preserve"> PAGE  \* MERGEFORMAT </w:instrText>
                    </w:r>
                    <w:r>
                      <w:fldChar w:fldCharType="separate"/>
                    </w:r>
                    <w:r>
                      <w:t>24</w:t>
                    </w:r>
                    <w:r>
                      <w:fldChar w:fldCharType="end"/>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525" cy="162560"/>
              <wp:effectExtent l="0" t="0" r="0" b="0"/>
              <wp:wrapNone/>
              <wp:docPr id="4" name="文本框 4"/>
              <wp:cNvGraphicFramePr/>
              <a:graphic xmlns:a="http://schemas.openxmlformats.org/drawingml/2006/main">
                <a:graphicData uri="http://schemas.microsoft.com/office/word/2010/wordprocessingShape">
                  <wps:wsp>
                    <wps:cNvSpPr/>
                    <wps:spPr>
                      <a:xfrm>
                        <a:off x="0" y="0"/>
                        <a:ext cx="9524" cy="162820"/>
                      </a:xfrm>
                      <a:prstGeom prst="rect">
                        <a:avLst/>
                      </a:prstGeom>
                      <a:noFill/>
                      <a:ln w="15875" cap="flat" cmpd="sng">
                        <a:noFill/>
                        <a:prstDash val="solid"/>
                        <a:round/>
                      </a:ln>
                      <a:effectLst/>
                    </wps:spPr>
                    <wps:txbx>
                      <w:txbxContent>
                        <w:p>
                          <w:pPr>
                            <w:jc w:val="center"/>
                          </w:pP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2.8pt;width:0.75pt;mso-position-horizontal:center;mso-position-horizontal-relative:margin;mso-wrap-style:none;z-index:251660288;mso-width-relative:page;mso-height-relative:page;" filled="f" stroked="f" coordsize="21600,21600" o:gfxdata="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NpBv0wAAAAIBAAAPAAAAAAAAAAEAIAAAACIAAABkcnMv&#10;ZG93bnJldi54bWxQSwECFAAUAAAACACHTuJAd5RvHQgCAAABBAAADgAAAAAAAAABACAAAAAiAQAA&#10;ZHJzL2Uyb0RvYy54bWxQSwUGAAAAAAYABgBZAQAAnAUAAAAA&#10;">
              <v:fill on="f" focussize="0,0"/>
              <v:stroke on="f" weight="1.25pt" joinstyle="round"/>
              <v:imagedata o:title=""/>
              <o:lock v:ext="edit" aspectratio="f"/>
              <v:textbox inset="0mm,0mm,0mm,0mm" style="mso-fit-shape-to-text:t;">
                <w:txbxContent>
                  <w:p>
                    <w:pPr>
                      <w:jc w:val="cente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8580" cy="137795"/>
              <wp:effectExtent l="0" t="0" r="0" b="0"/>
              <wp:wrapNone/>
              <wp:docPr id="7" name="文本框 6"/>
              <wp:cNvGraphicFramePr/>
              <a:graphic xmlns:a="http://schemas.openxmlformats.org/drawingml/2006/main">
                <a:graphicData uri="http://schemas.microsoft.com/office/word/2010/wordprocessingShape">
                  <wps:wsp>
                    <wps:cNvSpPr/>
                    <wps:spPr>
                      <a:xfrm>
                        <a:off x="0" y="0"/>
                        <a:ext cx="68659" cy="138074"/>
                      </a:xfrm>
                      <a:prstGeom prst="rect">
                        <a:avLst/>
                      </a:prstGeom>
                      <a:noFill/>
                      <a:ln w="15875" cap="flat" cmpd="sng">
                        <a:noFill/>
                        <a:prstDash val="solid"/>
                        <a:round/>
                      </a:ln>
                      <a:effectLst/>
                    </wps:spPr>
                    <wps:txbx>
                      <w:txbxContent>
                        <w:p>
                          <w:pPr>
                            <w:pStyle w:val="1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rect id="文本框 6" o:spid="_x0000_s1026" o:spt="1" style="position:absolute;left:0pt;margin-top:0pt;height:10.85pt;width:5.4pt;mso-position-horizontal:center;mso-position-horizontal-relative:margin;mso-wrap-style:none;z-index:251661312;mso-width-relative:page;mso-height-relative:page;" filled="f" stroked="f" coordsize="21600,21600" o:gfxdata="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S3rNMAAAADAQAADwAAAAAAAAABACAAAAAiAAAAZHJz&#10;L2Rvd25yZXYueG1sUEsBAhQAFAAAAAgAh07iQIL7VB4JAgAAAgQAAA4AAAAAAAAAAQAgAAAAIgEA&#10;AGRycy9lMm9Eb2MueG1sUEsFBgAAAAAGAAYAWQEAAJ0FAAAAAA==&#10;">
              <v:fill on="f" focussize="0,0"/>
              <v:stroke on="f" weight="1.25pt" joinstyle="round"/>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7160" cy="137795"/>
              <wp:effectExtent l="0" t="0" r="0" b="0"/>
              <wp:wrapNone/>
              <wp:docPr id="19" name="文本框 3"/>
              <wp:cNvGraphicFramePr/>
              <a:graphic xmlns:a="http://schemas.openxmlformats.org/drawingml/2006/main">
                <a:graphicData uri="http://schemas.microsoft.com/office/word/2010/wordprocessingShape">
                  <wps:wsp>
                    <wps:cNvSpPr/>
                    <wps:spPr>
                      <a:xfrm>
                        <a:off x="0" y="0"/>
                        <a:ext cx="137317" cy="138074"/>
                      </a:xfrm>
                      <a:prstGeom prst="rect">
                        <a:avLst/>
                      </a:prstGeom>
                      <a:noFill/>
                      <a:ln w="15875" cap="flat" cmpd="sng">
                        <a:noFill/>
                        <a:prstDash val="solid"/>
                        <a:round/>
                      </a:ln>
                      <a:effectLst/>
                    </wps:spPr>
                    <wps:txbx>
                      <w:txbxContent>
                        <w:p>
                          <w:pPr>
                            <w:pStyle w:val="16"/>
                            <w:jc w:val="center"/>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0.85pt;width:10.8pt;mso-position-horizontal:center;mso-position-horizontal-relative:margin;mso-wrap-style:none;z-index:251662336;mso-width-relative:page;mso-height-relative:page;" filled="f" stroked="f" coordsize="21600,21600" o:gfxdata="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&#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HZ0XbTAAAAAwEAAA8AAAAAAAAAAQAgAAAAIgAAAGRy&#10;cy9kb3ducmV2LnhtbFBLAQIUABQAAAAIAIdO4kAk+SzRCgIAAAQEAAAOAAAAAAAAAAEAIAAAACIB&#10;AABkcnMvZTJvRG9jLnhtbFBLBQYAAAAABgAGAFkBAACeBQAAAAA=&#10;">
              <v:fill on="f" focussize="0,0"/>
              <v:stroke on="f" weight="1.25pt" joinstyle="round"/>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t>5</w:t>
                    </w:r>
                    <w:r>
                      <w:fldChar w:fldCharType="end"/>
                    </w:r>
                  </w:p>
                </w:txbxContent>
              </v:textbox>
            </v:rect>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A204D"/>
    <w:multiLevelType w:val="singleLevel"/>
    <w:tmpl w:val="BE9A204D"/>
    <w:lvl w:ilvl="0" w:tentative="0">
      <w:start w:val="2"/>
      <w:numFmt w:val="decimal"/>
      <w:suff w:val="nothing"/>
      <w:lvlText w:val="%1、"/>
      <w:lvlJc w:val="left"/>
      <w:pPr>
        <w:ind w:left="0" w:firstLine="0"/>
      </w:pPr>
    </w:lvl>
  </w:abstractNum>
  <w:abstractNum w:abstractNumId="1">
    <w:nsid w:val="33B08289"/>
    <w:multiLevelType w:val="singleLevel"/>
    <w:tmpl w:val="33B08289"/>
    <w:lvl w:ilvl="0" w:tentative="0">
      <w:start w:val="2"/>
      <w:numFmt w:val="decimal"/>
      <w:suff w:val="nothing"/>
      <w:lvlText w:val="%1、"/>
      <w:lvlJc w:val="left"/>
      <w:pPr>
        <w:ind w:left="630" w:firstLine="0"/>
      </w:pPr>
    </w:lvl>
  </w:abstractNum>
  <w:abstractNum w:abstractNumId="2">
    <w:nsid w:val="458C7BCE"/>
    <w:multiLevelType w:val="singleLevel"/>
    <w:tmpl w:val="458C7BCE"/>
    <w:lvl w:ilvl="0" w:tentative="0">
      <w:start w:val="4"/>
      <w:numFmt w:val="chineseCounting"/>
      <w:suff w:val="nothing"/>
      <w:lvlText w:val="（%1）"/>
      <w:lvlJc w:val="left"/>
      <w:rPr>
        <w:rFonts w:hint="eastAsia"/>
      </w:rPr>
    </w:lvl>
  </w:abstractNum>
  <w:abstractNum w:abstractNumId="3">
    <w:nsid w:val="7AC5E272"/>
    <w:multiLevelType w:val="singleLevel"/>
    <w:tmpl w:val="7AC5E272"/>
    <w:lvl w:ilvl="0" w:tentative="0">
      <w:start w:val="6"/>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E56337"/>
    <w:rsid w:val="06A421B1"/>
    <w:rsid w:val="078205D8"/>
    <w:rsid w:val="07AD2313"/>
    <w:rsid w:val="082F0506"/>
    <w:rsid w:val="08574DA4"/>
    <w:rsid w:val="08AB5CD9"/>
    <w:rsid w:val="091D48F5"/>
    <w:rsid w:val="09224B6A"/>
    <w:rsid w:val="09D05701"/>
    <w:rsid w:val="0AAE67FF"/>
    <w:rsid w:val="0AEC6CAF"/>
    <w:rsid w:val="0B5307DA"/>
    <w:rsid w:val="0B712E56"/>
    <w:rsid w:val="0C990F8A"/>
    <w:rsid w:val="0D14316F"/>
    <w:rsid w:val="0D876CBA"/>
    <w:rsid w:val="0DA00925"/>
    <w:rsid w:val="0DBF7032"/>
    <w:rsid w:val="0E9D221C"/>
    <w:rsid w:val="0F125D46"/>
    <w:rsid w:val="0FC06213"/>
    <w:rsid w:val="0FD168A2"/>
    <w:rsid w:val="10AD153F"/>
    <w:rsid w:val="10CA407D"/>
    <w:rsid w:val="10E96808"/>
    <w:rsid w:val="11082D6C"/>
    <w:rsid w:val="120612A3"/>
    <w:rsid w:val="12260CDB"/>
    <w:rsid w:val="12577104"/>
    <w:rsid w:val="12791E2F"/>
    <w:rsid w:val="12B401FA"/>
    <w:rsid w:val="12C81DAF"/>
    <w:rsid w:val="132A789B"/>
    <w:rsid w:val="136E31E6"/>
    <w:rsid w:val="137B64CA"/>
    <w:rsid w:val="13985718"/>
    <w:rsid w:val="13C62D02"/>
    <w:rsid w:val="14085134"/>
    <w:rsid w:val="14502B35"/>
    <w:rsid w:val="14B30CFC"/>
    <w:rsid w:val="157E0840"/>
    <w:rsid w:val="15AA4F76"/>
    <w:rsid w:val="15F351FA"/>
    <w:rsid w:val="16220065"/>
    <w:rsid w:val="164A1CD1"/>
    <w:rsid w:val="16E10D15"/>
    <w:rsid w:val="18777F2C"/>
    <w:rsid w:val="18C13F1E"/>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D435D9"/>
    <w:rsid w:val="24D929B7"/>
    <w:rsid w:val="25424936"/>
    <w:rsid w:val="26461672"/>
    <w:rsid w:val="26E725CF"/>
    <w:rsid w:val="27C619BC"/>
    <w:rsid w:val="27F6733C"/>
    <w:rsid w:val="28440BC0"/>
    <w:rsid w:val="294D7406"/>
    <w:rsid w:val="29A15441"/>
    <w:rsid w:val="29CA2DA3"/>
    <w:rsid w:val="29E91624"/>
    <w:rsid w:val="2A2048B5"/>
    <w:rsid w:val="2AAA670E"/>
    <w:rsid w:val="2B4C7E2E"/>
    <w:rsid w:val="2BD30B41"/>
    <w:rsid w:val="2C281B8C"/>
    <w:rsid w:val="2C7951FF"/>
    <w:rsid w:val="2C923835"/>
    <w:rsid w:val="2C9906FF"/>
    <w:rsid w:val="2E213C76"/>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B55E3"/>
    <w:rsid w:val="3C8C7225"/>
    <w:rsid w:val="3D88099C"/>
    <w:rsid w:val="3DD54F36"/>
    <w:rsid w:val="3E1259E6"/>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2651A4"/>
    <w:rsid w:val="452C0160"/>
    <w:rsid w:val="45385CCE"/>
    <w:rsid w:val="459B7A42"/>
    <w:rsid w:val="45A605E7"/>
    <w:rsid w:val="461A12BE"/>
    <w:rsid w:val="47704046"/>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50A1697F"/>
    <w:rsid w:val="53512668"/>
    <w:rsid w:val="53691AF0"/>
    <w:rsid w:val="54B421E6"/>
    <w:rsid w:val="562E6098"/>
    <w:rsid w:val="57353861"/>
    <w:rsid w:val="577C01B6"/>
    <w:rsid w:val="57B86B0F"/>
    <w:rsid w:val="58267900"/>
    <w:rsid w:val="584F0427"/>
    <w:rsid w:val="588C2F3A"/>
    <w:rsid w:val="58D46B09"/>
    <w:rsid w:val="593272AC"/>
    <w:rsid w:val="5A1A5CA7"/>
    <w:rsid w:val="5AEE6593"/>
    <w:rsid w:val="5B0C6C9A"/>
    <w:rsid w:val="5B0E79A0"/>
    <w:rsid w:val="5BAB08CE"/>
    <w:rsid w:val="5C770D64"/>
    <w:rsid w:val="5EF93CAD"/>
    <w:rsid w:val="5EFF3AEB"/>
    <w:rsid w:val="5F890C97"/>
    <w:rsid w:val="60D23C79"/>
    <w:rsid w:val="6111655A"/>
    <w:rsid w:val="613E5726"/>
    <w:rsid w:val="617A7CE6"/>
    <w:rsid w:val="623177E6"/>
    <w:rsid w:val="62370257"/>
    <w:rsid w:val="63082DBB"/>
    <w:rsid w:val="63A83FD4"/>
    <w:rsid w:val="63D20873"/>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5F5C9E"/>
    <w:rsid w:val="6C942CC0"/>
    <w:rsid w:val="6CC12AED"/>
    <w:rsid w:val="6CEA4018"/>
    <w:rsid w:val="6D0B319A"/>
    <w:rsid w:val="6D1B2FA8"/>
    <w:rsid w:val="6D654830"/>
    <w:rsid w:val="6DE312CD"/>
    <w:rsid w:val="6E1D7527"/>
    <w:rsid w:val="6F050DD8"/>
    <w:rsid w:val="6F451489"/>
    <w:rsid w:val="6F7146A8"/>
    <w:rsid w:val="6FC365BC"/>
    <w:rsid w:val="6FD4166F"/>
    <w:rsid w:val="6FD9207B"/>
    <w:rsid w:val="70A3153E"/>
    <w:rsid w:val="70D36C36"/>
    <w:rsid w:val="70D71190"/>
    <w:rsid w:val="710A22C3"/>
    <w:rsid w:val="71606A9F"/>
    <w:rsid w:val="71B90184"/>
    <w:rsid w:val="72E74D02"/>
    <w:rsid w:val="72EF3F6C"/>
    <w:rsid w:val="73B61455"/>
    <w:rsid w:val="73CF17A5"/>
    <w:rsid w:val="73D477C4"/>
    <w:rsid w:val="73F3059D"/>
    <w:rsid w:val="742F670E"/>
    <w:rsid w:val="74605173"/>
    <w:rsid w:val="74E35547"/>
    <w:rsid w:val="757F19A8"/>
    <w:rsid w:val="75815B6D"/>
    <w:rsid w:val="759D050F"/>
    <w:rsid w:val="7618234F"/>
    <w:rsid w:val="762B360F"/>
    <w:rsid w:val="763751C0"/>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7"/>
    <w:qFormat/>
    <w:uiPriority w:val="0"/>
    <w:pPr>
      <w:keepNext/>
      <w:keepLines/>
      <w:spacing w:before="260" w:after="260" w:line="413" w:lineRule="auto"/>
      <w:ind w:firstLine="49" w:firstLineChars="49"/>
      <w:outlineLvl w:val="2"/>
    </w:pPr>
    <w:rPr>
      <w:rFonts w:ascii="黑体" w:eastAsia="黑体"/>
      <w:sz w:val="28"/>
      <w:szCs w:val="20"/>
    </w:rPr>
  </w:style>
  <w:style w:type="paragraph" w:styleId="3">
    <w:name w:val="heading 5"/>
    <w:basedOn w:val="1"/>
    <w:next w:val="1"/>
    <w:qFormat/>
    <w:uiPriority w:val="0"/>
    <w:pPr>
      <w:keepNext/>
      <w:keepLines/>
      <w:spacing w:before="280" w:after="290" w:line="377" w:lineRule="auto"/>
      <w:outlineLvl w:val="4"/>
    </w:pPr>
    <w:rPr>
      <w:b/>
      <w:bCs/>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qFormat/>
    <w:uiPriority w:val="99"/>
    <w:pPr>
      <w:spacing w:after="120"/>
    </w:p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2">
    <w:name w:val="toc 3"/>
    <w:basedOn w:val="1"/>
    <w:next w:val="1"/>
    <w:qFormat/>
    <w:uiPriority w:val="0"/>
    <w:pPr>
      <w:ind w:left="400" w:leftChars="400"/>
    </w:pPr>
  </w:style>
  <w:style w:type="paragraph" w:styleId="13">
    <w:name w:val="Plain Text"/>
    <w:basedOn w:val="1"/>
    <w:qFormat/>
    <w:uiPriority w:val="0"/>
    <w:pPr>
      <w:adjustRightInd w:val="0"/>
      <w:spacing w:line="312" w:lineRule="atLeast"/>
      <w:textAlignment w:val="baseline"/>
    </w:pPr>
    <w:rPr>
      <w:rFonts w:ascii="宋体"/>
      <w:kern w:val="0"/>
      <w:szCs w:val="20"/>
    </w:rPr>
  </w:style>
  <w:style w:type="paragraph" w:styleId="14">
    <w:name w:val="Date"/>
    <w:basedOn w:val="1"/>
    <w:next w:val="1"/>
    <w:qFormat/>
    <w:uiPriority w:val="0"/>
    <w:pPr>
      <w:ind w:left="2500" w:leftChars="2500"/>
    </w:p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rFonts w:ascii="Tahoma" w:hAnsi="Tahoma"/>
      <w:b/>
      <w:sz w:val="18"/>
      <w:szCs w:val="18"/>
    </w:rPr>
  </w:style>
  <w:style w:type="paragraph" w:styleId="17">
    <w:name w:val="header"/>
    <w:basedOn w:val="1"/>
    <w:next w:val="18"/>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18">
    <w:name w:val="引用1"/>
    <w:basedOn w:val="1"/>
    <w:next w:val="1"/>
    <w:qFormat/>
    <w:uiPriority w:val="0"/>
    <w:pPr>
      <w:ind w:left="864" w:right="864"/>
      <w:jc w:val="center"/>
    </w:pPr>
    <w:rPr>
      <w:rFonts w:ascii="Times New Roman" w:hAnsi="Times New Roman"/>
      <w:i/>
      <w:iCs/>
      <w:color w:val="404040"/>
    </w:rPr>
  </w:style>
  <w:style w:type="paragraph" w:styleId="19">
    <w:name w:val="toc 1"/>
    <w:basedOn w:val="1"/>
    <w:next w:val="1"/>
    <w:qFormat/>
    <w:uiPriority w:val="0"/>
  </w:style>
  <w:style w:type="paragraph" w:styleId="20">
    <w:name w:val="toc 2"/>
    <w:basedOn w:val="1"/>
    <w:next w:val="1"/>
    <w:qFormat/>
    <w:uiPriority w:val="0"/>
    <w:pPr>
      <w:ind w:left="200" w:leftChars="200"/>
    </w:pPr>
  </w:style>
  <w:style w:type="paragraph" w:styleId="21">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2">
    <w:name w:val="annotation subject"/>
    <w:basedOn w:val="9"/>
    <w:next w:val="9"/>
    <w:qFormat/>
    <w:uiPriority w:val="0"/>
    <w:rPr>
      <w:b/>
      <w:bCs/>
    </w:rPr>
  </w:style>
  <w:style w:type="paragraph" w:styleId="23">
    <w:name w:val="Body Text First Indent"/>
    <w:basedOn w:val="2"/>
    <w:qFormat/>
    <w:uiPriority w:val="0"/>
    <w:pPr>
      <w:spacing w:line="360" w:lineRule="auto"/>
      <w:ind w:firstLine="100" w:firstLineChars="100"/>
      <w:outlineLvl w:val="0"/>
    </w:pPr>
    <w:rPr>
      <w:bCs/>
      <w:color w:val="000000"/>
      <w:kern w:val="28"/>
      <w:szCs w:val="21"/>
    </w:rPr>
  </w:style>
  <w:style w:type="paragraph" w:styleId="24">
    <w:name w:val="Body Text First Indent 2"/>
    <w:basedOn w:val="11"/>
    <w:next w:val="1"/>
    <w:qFormat/>
    <w:uiPriority w:val="0"/>
    <w:pPr>
      <w:tabs>
        <w:tab w:val="left" w:pos="8280"/>
      </w:tabs>
      <w:ind w:firstLine="200" w:firstLineChars="200"/>
    </w:pPr>
    <w:rPr>
      <w:rFonts w:ascii="Times New Roman" w:hAnsi="Times New Roman"/>
    </w:r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800080" w:themeColor="followedHyperlink"/>
      <w:u w:val="single"/>
      <w14:textFill>
        <w14:solidFill>
          <w14:schemeClr w14:val="folHlink"/>
        </w14:solidFill>
      </w14:textFill>
    </w:rPr>
  </w:style>
  <w:style w:type="character" w:styleId="30">
    <w:name w:val="Hyperlink"/>
    <w:basedOn w:val="26"/>
    <w:qFormat/>
    <w:uiPriority w:val="0"/>
    <w:rPr>
      <w:color w:val="0000FF"/>
      <w:u w:val="single"/>
    </w:rPr>
  </w:style>
  <w:style w:type="character" w:styleId="31">
    <w:name w:val="annotation reference"/>
    <w:qFormat/>
    <w:uiPriority w:val="0"/>
    <w:rPr>
      <w:rFonts w:ascii="Tahoma" w:hAnsi="Tahoma"/>
      <w:b/>
      <w:sz w:val="21"/>
      <w:szCs w:val="21"/>
    </w:rPr>
  </w:style>
  <w:style w:type="paragraph" w:customStyle="1" w:styleId="32">
    <w:name w:val="BodyText"/>
    <w:basedOn w:val="1"/>
    <w:qFormat/>
    <w:uiPriority w:val="0"/>
    <w:pPr>
      <w:spacing w:after="120"/>
    </w:pPr>
  </w:style>
  <w:style w:type="paragraph" w:customStyle="1" w:styleId="33">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34">
    <w:name w:val="Char"/>
    <w:basedOn w:val="1"/>
    <w:qFormat/>
    <w:uiPriority w:val="0"/>
  </w:style>
  <w:style w:type="paragraph" w:customStyle="1" w:styleId="35">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36">
    <w:name w:val="列出段落1"/>
    <w:basedOn w:val="1"/>
    <w:qFormat/>
    <w:uiPriority w:val="0"/>
    <w:pPr>
      <w:ind w:firstLine="200" w:firstLineChars="200"/>
    </w:pPr>
    <w:rPr>
      <w:szCs w:val="22"/>
    </w:rPr>
  </w:style>
  <w:style w:type="paragraph" w:customStyle="1" w:styleId="37">
    <w:name w:val="样式 标题 2 + Times New Roman 四号 非加粗 段前: 5 磅 段后: 0 磅 行距: 固定值 20..."/>
    <w:basedOn w:val="5"/>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38">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39">
    <w:name w:val="默认段落字体 Para Char Char Char Char Char Char Char"/>
    <w:basedOn w:val="1"/>
    <w:qFormat/>
    <w:uiPriority w:val="0"/>
    <w:rPr>
      <w:rFonts w:ascii="Times New Roman" w:hAnsi="Times New Roman"/>
      <w:szCs w:val="20"/>
    </w:rPr>
  </w:style>
  <w:style w:type="paragraph" w:customStyle="1" w:styleId="40">
    <w:name w:val="Table Paragraph"/>
    <w:basedOn w:val="1"/>
    <w:qFormat/>
    <w:uiPriority w:val="0"/>
  </w:style>
  <w:style w:type="character" w:customStyle="1" w:styleId="41">
    <w:name w:val="正文文本 字符"/>
    <w:basedOn w:val="26"/>
    <w:link w:val="2"/>
    <w:qFormat/>
    <w:uiPriority w:val="99"/>
    <w:rPr>
      <w:rFonts w:ascii="Calibri" w:hAnsi="Calibri"/>
      <w:kern w:val="2"/>
      <w:sz w:val="21"/>
      <w:szCs w:val="24"/>
    </w:rPr>
  </w:style>
  <w:style w:type="paragraph" w:customStyle="1" w:styleId="42">
    <w:name w:val="UserStyle_1"/>
    <w:basedOn w:val="1"/>
    <w:qFormat/>
    <w:uiPriority w:val="0"/>
    <w:pPr>
      <w:topLinePunct/>
      <w:spacing w:line="360" w:lineRule="auto"/>
      <w:ind w:firstLine="200" w:firstLineChars="200"/>
    </w:pPr>
    <w:rPr>
      <w:rFonts w:ascii="Verdana" w:hAnsi="Verdana"/>
      <w:sz w:val="24"/>
    </w:rPr>
  </w:style>
  <w:style w:type="character" w:customStyle="1" w:styleId="43">
    <w:name w:val="NormalCharacter"/>
    <w:qFormat/>
    <w:uiPriority w:val="0"/>
  </w:style>
  <w:style w:type="table" w:customStyle="1" w:styleId="44">
    <w:name w:val="Table Normal"/>
    <w:semiHidden/>
    <w:unhideWhenUsed/>
    <w:qFormat/>
    <w:uiPriority w:val="0"/>
    <w:tblPr>
      <w:tblCellMar>
        <w:top w:w="0" w:type="dxa"/>
        <w:left w:w="0" w:type="dxa"/>
        <w:bottom w:w="0" w:type="dxa"/>
        <w:right w:w="0" w:type="dxa"/>
      </w:tblCellMar>
    </w:tblPr>
  </w:style>
  <w:style w:type="character" w:customStyle="1" w:styleId="45">
    <w:name w:val="font01"/>
    <w:basedOn w:val="26"/>
    <w:qFormat/>
    <w:uiPriority w:val="0"/>
    <w:rPr>
      <w:rFonts w:hint="eastAsia" w:ascii="宋体" w:hAnsi="宋体" w:eastAsia="宋体" w:cs="宋体"/>
      <w:color w:val="FF0000"/>
      <w:sz w:val="22"/>
      <w:szCs w:val="22"/>
      <w:u w:val="none"/>
    </w:rPr>
  </w:style>
  <w:style w:type="character" w:customStyle="1" w:styleId="46">
    <w:name w:val="font11"/>
    <w:basedOn w:val="26"/>
    <w:qFormat/>
    <w:uiPriority w:val="0"/>
    <w:rPr>
      <w:rFonts w:hint="eastAsia" w:ascii="宋体" w:hAnsi="宋体" w:eastAsia="宋体" w:cs="宋体"/>
      <w:color w:val="000000"/>
      <w:sz w:val="22"/>
      <w:szCs w:val="22"/>
      <w:u w:val="none"/>
    </w:rPr>
  </w:style>
  <w:style w:type="character" w:customStyle="1" w:styleId="47">
    <w:name w:val="font41"/>
    <w:basedOn w:val="26"/>
    <w:qFormat/>
    <w:uiPriority w:val="0"/>
    <w:rPr>
      <w:rFonts w:hint="eastAsia" w:ascii="宋体" w:hAnsi="宋体" w:eastAsia="宋体" w:cs="宋体"/>
      <w:color w:val="FFC000"/>
      <w:sz w:val="22"/>
      <w:szCs w:val="22"/>
      <w:u w:val="none"/>
    </w:rPr>
  </w:style>
  <w:style w:type="character" w:customStyle="1" w:styleId="48">
    <w:name w:val="font31"/>
    <w:basedOn w:val="26"/>
    <w:qFormat/>
    <w:uiPriority w:val="0"/>
    <w:rPr>
      <w:rFonts w:hint="default" w:ascii="Times New Roman" w:hAnsi="Times New Roman" w:cs="Times New Roman"/>
      <w:color w:val="000000"/>
      <w:sz w:val="23"/>
      <w:szCs w:val="23"/>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DC6D2-0290-42A6-9D93-C0CC8B675EBE}">
  <ds:schemaRefs/>
</ds:datastoreItem>
</file>

<file path=customXml/itemProps3.xml><?xml version="1.0" encoding="utf-8"?>
<ds:datastoreItem xmlns:ds="http://schemas.openxmlformats.org/officeDocument/2006/customXml" ds:itemID="{87EEEFAF-AF6F-47A4-AFE2-723264F48A46}">
  <ds:schemaRefs/>
</ds:datastoreItem>
</file>

<file path=customXml/itemProps4.xml><?xml version="1.0" encoding="utf-8"?>
<ds:datastoreItem xmlns:ds="http://schemas.openxmlformats.org/officeDocument/2006/customXml" ds:itemID="{8C2ECA44-8724-48E4-9F7A-182A473D1795}">
  <ds:schemaRefs/>
</ds:datastoreItem>
</file>

<file path=customXml/itemProps5.xml><?xml version="1.0" encoding="utf-8"?>
<ds:datastoreItem xmlns:ds="http://schemas.openxmlformats.org/officeDocument/2006/customXml" ds:itemID="{9BFFD215-D857-44F3-90B1-C0F7B3EE83EE}">
  <ds:schemaRefs/>
</ds:datastoreItem>
</file>

<file path=customXml/itemProps6.xml><?xml version="1.0" encoding="utf-8"?>
<ds:datastoreItem xmlns:ds="http://schemas.openxmlformats.org/officeDocument/2006/customXml" ds:itemID="{1D3791E5-CA6D-484F-8F98-2EE74A0F8C4E}">
  <ds:schemaRefs/>
</ds:datastoreItem>
</file>

<file path=customXml/itemProps7.xml><?xml version="1.0" encoding="utf-8"?>
<ds:datastoreItem xmlns:ds="http://schemas.openxmlformats.org/officeDocument/2006/customXml" ds:itemID="{DCE8AD46-CB20-4EEF-9CE8-17DF6DB54AD3}">
  <ds:schemaRefs/>
</ds:datastoreItem>
</file>

<file path=customXml/itemProps8.xml><?xml version="1.0" encoding="utf-8"?>
<ds:datastoreItem xmlns:ds="http://schemas.openxmlformats.org/officeDocument/2006/customXml" ds:itemID="{559CA057-9312-4AE4-A3B8-0F0325230C1B}">
  <ds:schemaRefs/>
</ds:datastoreItem>
</file>

<file path=customXml/itemProps9.xml><?xml version="1.0" encoding="utf-8"?>
<ds:datastoreItem xmlns:ds="http://schemas.openxmlformats.org/officeDocument/2006/customXml" ds:itemID="{586E2CE1-7FF8-4507-A237-55F2CEDC6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2</TotalTime>
  <ScaleCrop>false</ScaleCrop>
  <LinksUpToDate>false</LinksUpToDate>
  <CharactersWithSpaces>27795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τ ó ղℊ</cp:lastModifiedBy>
  <cp:lastPrinted>2023-07-10T09:26:28Z</cp:lastPrinted>
  <dcterms:modified xsi:type="dcterms:W3CDTF">2023-07-10T09:26:41Z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8A1D56AEF0484AFE93427389DC159D74_13</vt:lpwstr>
  </property>
</Properties>
</file>