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after="0"/>
        <w:ind w:firstLine="0" w:firstLineChars="0"/>
        <w:rPr>
          <w:color w:val="auto"/>
          <w:sz w:val="44"/>
          <w:szCs w:val="44"/>
        </w:rPr>
      </w:pPr>
    </w:p>
    <w:p>
      <w:pPr>
        <w:pStyle w:val="25"/>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项目（五</w:t>
      </w:r>
      <w:bookmarkStart w:id="148" w:name="_GoBack"/>
      <w:bookmarkEnd w:id="148"/>
      <w:r>
        <w:rPr>
          <w:rFonts w:hint="eastAsia" w:ascii="宋体" w:hAnsi="宋体" w:cs="宋体"/>
          <w:b/>
          <w:bCs/>
          <w:sz w:val="44"/>
          <w:szCs w:val="44"/>
          <w:lang w:eastAsia="zh-CN"/>
        </w:rPr>
        <w:t>）</w:t>
      </w:r>
    </w:p>
    <w:p>
      <w:pPr>
        <w:pStyle w:val="12"/>
        <w:spacing w:after="0" w:line="360" w:lineRule="auto"/>
        <w:jc w:val="center"/>
        <w:rPr>
          <w:rFonts w:ascii="黑体" w:hAnsi="黑体" w:eastAsia="黑体" w:cs="宋体"/>
          <w:b/>
          <w:bCs/>
          <w:snapToGrid w:val="0"/>
          <w:kern w:val="0"/>
          <w:sz w:val="40"/>
          <w:szCs w:val="40"/>
        </w:rPr>
      </w:pPr>
    </w:p>
    <w:p>
      <w:pPr>
        <w:pStyle w:val="12"/>
        <w:spacing w:after="0" w:line="360" w:lineRule="auto"/>
        <w:jc w:val="center"/>
        <w:rPr>
          <w:rFonts w:ascii="黑体" w:hAnsi="黑体" w:eastAsia="黑体" w:cs="宋体"/>
          <w:b/>
          <w:bCs/>
          <w:snapToGrid w:val="0"/>
          <w:kern w:val="0"/>
          <w:sz w:val="40"/>
          <w:szCs w:val="40"/>
        </w:rPr>
      </w:pPr>
    </w:p>
    <w:p>
      <w:pPr>
        <w:pStyle w:val="12"/>
        <w:spacing w:after="0" w:line="360" w:lineRule="auto"/>
        <w:jc w:val="center"/>
        <w:rPr>
          <w:rFonts w:ascii="黑体" w:hAnsi="黑体" w:eastAsia="黑体" w:cs="宋体"/>
          <w:snapToGrid w:val="0"/>
          <w:kern w:val="0"/>
          <w:sz w:val="36"/>
          <w:szCs w:val="36"/>
        </w:rPr>
      </w:pPr>
    </w:p>
    <w:p>
      <w:pPr>
        <w:pStyle w:val="1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2"/>
        <w:spacing w:after="0" w:line="360" w:lineRule="auto"/>
        <w:jc w:val="center"/>
        <w:rPr>
          <w:rFonts w:ascii="黑体" w:hAnsi="黑体" w:eastAsia="黑体" w:cs="宋体"/>
          <w:snapToGrid w:val="0"/>
          <w:kern w:val="0"/>
          <w:sz w:val="36"/>
          <w:szCs w:val="36"/>
        </w:rPr>
      </w:pPr>
    </w:p>
    <w:p>
      <w:pPr>
        <w:pStyle w:val="25"/>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9252"/>
      <w:bookmarkStart w:id="1" w:name="_Toc27485"/>
      <w:bookmarkStart w:id="2" w:name="_Toc9360"/>
      <w:bookmarkStart w:id="3" w:name="_Toc7028"/>
      <w:bookmarkStart w:id="4" w:name="_Toc29917"/>
      <w:bookmarkStart w:id="5" w:name="_Toc1893"/>
      <w:bookmarkStart w:id="6" w:name="_Toc15937"/>
      <w:bookmarkStart w:id="7" w:name="_Toc16820"/>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2"/>
        <w:rPr>
          <w:sz w:val="40"/>
        </w:rPr>
      </w:pPr>
    </w:p>
    <w:p>
      <w:pPr>
        <w:pStyle w:val="12"/>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2"/>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default" w:eastAsia="宋体"/>
          <w:lang w:val="en-US" w:eastAsia="zh-CN"/>
        </w:rPr>
      </w:pPr>
      <w:r>
        <w:rPr>
          <w:rFonts w:hint="eastAsia"/>
          <w:sz w:val="32"/>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rPr>
      </w:pPr>
      <w:bookmarkStart w:id="9" w:name="_Toc17223"/>
      <w:bookmarkStart w:id="10" w:name="_Toc12829"/>
      <w:bookmarkStart w:id="11" w:name="_Toc23301"/>
      <w:bookmarkStart w:id="12" w:name="_Toc23647"/>
      <w:bookmarkStart w:id="13" w:name="_Toc13783"/>
      <w:bookmarkStart w:id="14" w:name="_Toc10675"/>
      <w:bookmarkStart w:id="15" w:name="_Toc9249"/>
      <w:bookmarkStart w:id="16" w:name="_Toc19817"/>
      <w:bookmarkStart w:id="17" w:name="_Toc3275"/>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23909"/>
      <w:bookmarkStart w:id="19" w:name="_Toc18909"/>
      <w:bookmarkStart w:id="20" w:name="_Toc14296"/>
      <w:bookmarkStart w:id="21" w:name="_Toc32441"/>
      <w:bookmarkStart w:id="22" w:name="_Toc1433"/>
      <w:bookmarkStart w:id="23" w:name="_Toc4359"/>
      <w:bookmarkStart w:id="24" w:name="_Toc421110024"/>
      <w:bookmarkStart w:id="25" w:name="_Toc2807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1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6.产品认证证书复印件。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327"/>
      <w:bookmarkStart w:id="27" w:name="_Toc26971"/>
      <w:bookmarkStart w:id="28" w:name="_Toc12747"/>
      <w:bookmarkStart w:id="29" w:name="_Toc2493"/>
      <w:bookmarkStart w:id="30" w:name="_Toc7450"/>
      <w:bookmarkStart w:id="31" w:name="_Toc4460"/>
      <w:bookmarkStart w:id="32" w:name="_Toc29818"/>
      <w:bookmarkStart w:id="33" w:name="_Toc20463"/>
      <w:bookmarkStart w:id="34" w:name="_Toc16541"/>
    </w:p>
    <w:p>
      <w:pPr>
        <w:pStyle w:val="1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1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1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1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
        <w:ind w:firstLine="608"/>
        <w:rPr>
          <w:rFonts w:ascii="宋体" w:cs="宋体"/>
          <w:sz w:val="28"/>
          <w:szCs w:val="28"/>
        </w:rPr>
      </w:pPr>
    </w:p>
    <w:p>
      <w:pPr>
        <w:rPr>
          <w:rFonts w:ascii="宋体" w:cs="宋体"/>
          <w:kern w:val="0"/>
          <w:sz w:val="28"/>
          <w:szCs w:val="28"/>
        </w:rPr>
      </w:pPr>
    </w:p>
    <w:p>
      <w:pPr>
        <w:pStyle w:val="2"/>
        <w:ind w:firstLine="528"/>
      </w:pPr>
    </w:p>
    <w:p>
      <w:pPr>
        <w:pStyle w:val="2"/>
        <w:ind w:firstLine="375" w:firstLineChars="100"/>
        <w:rPr>
          <w:rFonts w:ascii="黑体" w:hAnsi="黑体" w:eastAsia="黑体" w:cs="宋体"/>
          <w:snapToGrid w:val="0"/>
          <w:sz w:val="36"/>
          <w:szCs w:val="36"/>
        </w:rPr>
      </w:pPr>
    </w:p>
    <w:p>
      <w:pPr>
        <w:pStyle w:val="2"/>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
        <w:ind w:firstLine="2345" w:firstLineChars="700"/>
        <w:rPr>
          <w:rFonts w:ascii="宋体" w:cs="宋体"/>
          <w:sz w:val="32"/>
          <w:szCs w:val="32"/>
        </w:rPr>
      </w:pPr>
    </w:p>
    <w:p>
      <w:pPr>
        <w:pStyle w:val="2"/>
        <w:ind w:firstLine="3150" w:firstLineChars="1000"/>
        <w:rPr>
          <w:rFonts w:ascii="宋体" w:cs="宋体"/>
          <w:b/>
          <w:bCs/>
          <w:sz w:val="30"/>
          <w:szCs w:val="30"/>
        </w:rPr>
      </w:pPr>
    </w:p>
    <w:p>
      <w:pPr>
        <w:pStyle w:val="2"/>
        <w:ind w:firstLine="688"/>
        <w:rPr>
          <w:rFonts w:ascii="宋体" w:cs="宋体"/>
          <w:sz w:val="32"/>
          <w:szCs w:val="32"/>
        </w:rPr>
      </w:pPr>
    </w:p>
    <w:p>
      <w:pPr>
        <w:pStyle w:val="2"/>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536"/>
      <w:bookmarkStart w:id="36" w:name="_Toc25572"/>
      <w:bookmarkStart w:id="37" w:name="_Toc25160"/>
      <w:bookmarkStart w:id="38" w:name="_Toc8581"/>
      <w:bookmarkStart w:id="39" w:name="_Toc24025"/>
      <w:bookmarkStart w:id="40" w:name="_Toc26388"/>
      <w:bookmarkStart w:id="41" w:name="_Toc29658"/>
      <w:bookmarkStart w:id="42" w:name="_Toc18593"/>
    </w:p>
    <w:p>
      <w:pPr>
        <w:jc w:val="center"/>
        <w:rPr>
          <w:rFonts w:ascii="宋体" w:cs="宋体"/>
          <w:b/>
          <w:bCs/>
          <w:kern w:val="0"/>
          <w:sz w:val="36"/>
          <w:szCs w:val="36"/>
        </w:rPr>
      </w:pPr>
    </w:p>
    <w:p>
      <w:pPr>
        <w:pStyle w:val="34"/>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rPr>
      </w:pPr>
      <w:bookmarkStart w:id="43" w:name="_Toc31185"/>
      <w:bookmarkStart w:id="44" w:name="_Toc1264"/>
      <w:bookmarkStart w:id="45" w:name="_Toc7287"/>
      <w:bookmarkStart w:id="46" w:name="_Toc28891"/>
      <w:bookmarkStart w:id="47" w:name="_Toc21192"/>
      <w:bookmarkStart w:id="48" w:name="_Toc2122"/>
      <w:bookmarkStart w:id="49" w:name="_Toc5441"/>
      <w:bookmarkStart w:id="50" w:name="_Toc13905"/>
      <w:bookmarkStart w:id="51" w:name="_Toc6235"/>
      <w:bookmarkStart w:id="52" w:name="_Toc25289"/>
      <w:bookmarkStart w:id="53" w:name="_Toc10795"/>
      <w:bookmarkStart w:id="54" w:name="_Toc8214"/>
      <w:bookmarkStart w:id="55" w:name="_Toc21194"/>
      <w:bookmarkStart w:id="56" w:name="_Toc17910"/>
      <w:bookmarkStart w:id="57" w:name="_Toc7407"/>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4"/>
        <w:keepNext/>
        <w:widowControl/>
        <w:autoSpaceDE w:val="0"/>
        <w:autoSpaceDN w:val="0"/>
        <w:adjustRightInd w:val="0"/>
        <w:snapToGrid w:val="0"/>
        <w:spacing w:line="360" w:lineRule="auto"/>
        <w:textAlignment w:val="baseline"/>
        <w:rPr>
          <w:b/>
          <w:kern w:val="0"/>
          <w:sz w:val="28"/>
          <w:szCs w:val="28"/>
        </w:rPr>
      </w:pPr>
      <w:bookmarkStart w:id="58" w:name="_Toc27672"/>
      <w:bookmarkStart w:id="59" w:name="_Toc18936"/>
      <w:bookmarkStart w:id="60" w:name="_Toc4019"/>
      <w:bookmarkStart w:id="61" w:name="_Toc8562"/>
      <w:bookmarkStart w:id="62" w:name="_Toc2998"/>
      <w:bookmarkStart w:id="63" w:name="_Toc31352"/>
      <w:bookmarkStart w:id="64" w:name="_Toc11513"/>
      <w:bookmarkStart w:id="65" w:name="_Toc27645"/>
      <w:bookmarkStart w:id="66" w:name="_Toc21922"/>
      <w:bookmarkStart w:id="67" w:name="_Toc27069"/>
      <w:bookmarkStart w:id="68" w:name="_Toc24540"/>
      <w:bookmarkStart w:id="69" w:name="_Toc18578"/>
      <w:bookmarkStart w:id="70" w:name="_Toc12924"/>
      <w:bookmarkStart w:id="71" w:name="_Toc28859"/>
      <w:bookmarkStart w:id="72" w:name="_Toc12745"/>
    </w:p>
    <w:p>
      <w:pPr>
        <w:pStyle w:val="4"/>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49162371"/>
      <w:bookmarkStart w:id="74" w:name="_Toc198862465"/>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5"/>
        <w:ind w:right="-293" w:rightChars="-146"/>
        <w:jc w:val="center"/>
        <w:rPr>
          <w:rFonts w:ascii="宋体"/>
          <w:sz w:val="24"/>
          <w:szCs w:val="24"/>
          <w:lang w:val="zh-CN"/>
        </w:rPr>
      </w:pPr>
      <w:bookmarkStart w:id="75" w:name="_Toc27295"/>
      <w:bookmarkStart w:id="76" w:name="_Toc18230"/>
      <w:bookmarkStart w:id="77" w:name="_Toc396236625"/>
      <w:bookmarkStart w:id="78" w:name="_Toc396236151"/>
      <w:bookmarkStart w:id="79" w:name="_Toc13257"/>
      <w:bookmarkStart w:id="80" w:name="_Toc2962"/>
      <w:bookmarkStart w:id="81" w:name="_Toc360630804"/>
      <w:bookmarkStart w:id="82" w:name="_Toc7142"/>
      <w:bookmarkStart w:id="83" w:name="_Toc16317"/>
      <w:bookmarkStart w:id="84" w:name="_Toc12389"/>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4"/>
        <w:keepNext/>
        <w:widowControl/>
        <w:autoSpaceDE w:val="0"/>
        <w:autoSpaceDN w:val="0"/>
        <w:adjustRightInd w:val="0"/>
        <w:snapToGrid w:val="0"/>
        <w:spacing w:line="360" w:lineRule="auto"/>
        <w:textAlignment w:val="baseline"/>
        <w:rPr>
          <w:b/>
          <w:kern w:val="0"/>
          <w:sz w:val="28"/>
          <w:szCs w:val="28"/>
        </w:rPr>
      </w:pPr>
      <w:bookmarkStart w:id="85" w:name="_Toc9265"/>
      <w:bookmarkStart w:id="86" w:name="_Toc20277"/>
      <w:bookmarkStart w:id="87" w:name="_Toc10367"/>
      <w:bookmarkStart w:id="88" w:name="_Toc8164"/>
      <w:bookmarkStart w:id="89" w:name="_Toc16316"/>
      <w:bookmarkStart w:id="90" w:name="_Toc8425"/>
      <w:bookmarkStart w:id="91" w:name="_Toc15437"/>
      <w:bookmarkStart w:id="92" w:name="_Toc27913"/>
      <w:bookmarkStart w:id="93" w:name="_Toc16972"/>
      <w:bookmarkStart w:id="94" w:name="_Toc31358"/>
      <w:bookmarkStart w:id="95" w:name="_Toc13184"/>
      <w:bookmarkStart w:id="96" w:name="_Toc22278"/>
      <w:bookmarkStart w:id="97" w:name="_Toc15030"/>
      <w:bookmarkStart w:id="98" w:name="_Toc13241"/>
      <w:bookmarkStart w:id="99" w:name="_Toc26549"/>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4"/>
        <w:keepNext/>
        <w:widowControl/>
        <w:autoSpaceDE w:val="0"/>
        <w:autoSpaceDN w:val="0"/>
        <w:adjustRightInd w:val="0"/>
        <w:snapToGrid w:val="0"/>
        <w:spacing w:line="360" w:lineRule="auto"/>
        <w:textAlignment w:val="baseline"/>
        <w:rPr>
          <w:b/>
          <w:kern w:val="0"/>
          <w:sz w:val="28"/>
          <w:szCs w:val="28"/>
        </w:rPr>
      </w:pPr>
      <w:bookmarkStart w:id="100" w:name="_Toc13575"/>
      <w:bookmarkStart w:id="101" w:name="_Toc3150"/>
      <w:bookmarkStart w:id="102" w:name="_Toc5056"/>
      <w:bookmarkStart w:id="103" w:name="_Toc29165"/>
      <w:bookmarkStart w:id="104" w:name="_Toc21368"/>
      <w:bookmarkStart w:id="105" w:name="_Toc25563"/>
      <w:bookmarkStart w:id="106" w:name="_Toc23743"/>
      <w:bookmarkStart w:id="107" w:name="_Toc22604"/>
      <w:bookmarkStart w:id="108" w:name="_Toc3288"/>
      <w:bookmarkStart w:id="109" w:name="_Toc23998"/>
      <w:bookmarkStart w:id="110" w:name="_Toc17474"/>
      <w:bookmarkStart w:id="111" w:name="_Toc14650"/>
      <w:bookmarkStart w:id="112" w:name="_Toc23947"/>
      <w:bookmarkStart w:id="113" w:name="_Toc31166"/>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3"/>
        <w:pageBreakBefore/>
        <w:jc w:val="both"/>
      </w:pPr>
      <w:bookmarkStart w:id="114" w:name="_Toc3848"/>
      <w:bookmarkStart w:id="115" w:name="_Toc5186"/>
      <w:bookmarkStart w:id="116" w:name="_Toc2580"/>
      <w:bookmarkStart w:id="117" w:name="_Toc13141"/>
      <w:bookmarkStart w:id="118" w:name="_Toc14477"/>
      <w:bookmarkStart w:id="119" w:name="_Toc15243"/>
      <w:bookmarkStart w:id="120" w:name="_Toc130"/>
      <w:bookmarkStart w:id="121" w:name="_Toc22564"/>
      <w:bookmarkStart w:id="122" w:name="_Toc900"/>
      <w:bookmarkStart w:id="123" w:name="_Toc26340"/>
      <w:bookmarkStart w:id="124" w:name="_Toc27824"/>
      <w:bookmarkStart w:id="125" w:name="_Toc29218"/>
      <w:bookmarkStart w:id="126" w:name="_Toc12196"/>
      <w:bookmarkStart w:id="127" w:name="_Toc9458"/>
      <w:r>
        <w:rPr>
          <w:rStyle w:val="51"/>
          <w:b/>
          <w:bCs/>
        </w:rPr>
        <w:t>附件</w:t>
      </w:r>
      <w:r>
        <w:rPr>
          <w:rStyle w:val="51"/>
          <w:rFonts w:hint="eastAsia"/>
          <w:b/>
          <w:bCs/>
          <w:lang w:val="en-US" w:eastAsia="zh-CN"/>
        </w:rPr>
        <w:t>5</w:t>
      </w:r>
      <w:r>
        <w:rPr>
          <w:rStyle w:val="51"/>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8934"/>
      <w:bookmarkStart w:id="129" w:name="_Toc30221"/>
      <w:bookmarkStart w:id="130" w:name="_Toc15219"/>
      <w:bookmarkStart w:id="131" w:name="_Toc7760"/>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7968"/>
      <w:bookmarkStart w:id="133" w:name="_Toc14457"/>
      <w:bookmarkStart w:id="134" w:name="_Toc8480"/>
      <w:bookmarkStart w:id="135" w:name="_Toc7829"/>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19041"/>
      <w:bookmarkStart w:id="137" w:name="_Toc23806"/>
      <w:bookmarkStart w:id="138" w:name="_Toc16653"/>
      <w:bookmarkStart w:id="139" w:name="_Toc5095"/>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3720"/>
      <w:bookmarkStart w:id="141" w:name="_Toc24037"/>
      <w:bookmarkStart w:id="142" w:name="_Toc17953"/>
      <w:bookmarkStart w:id="143" w:name="_Toc13196"/>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7190"/>
      <w:bookmarkStart w:id="145" w:name="_Toc3102"/>
      <w:bookmarkStart w:id="146" w:name="_Toc13749"/>
      <w:bookmarkStart w:id="147" w:name="_Toc13014"/>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12"/>
        <w:rPr>
          <w:rFonts w:hint="default"/>
          <w:lang w:val="en-US" w:eastAsia="zh-CN"/>
        </w:rPr>
      </w:pPr>
    </w:p>
    <w:p>
      <w:pPr>
        <w:keepNext w:val="0"/>
        <w:keepLines w:val="0"/>
        <w:pageBreakBefore w:val="0"/>
        <w:numPr>
          <w:ilvl w:val="0"/>
          <w:numId w:val="1"/>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技术要求</w:t>
      </w:r>
    </w:p>
    <w:p>
      <w:pPr>
        <w:pStyle w:val="12"/>
        <w:widowControl w:val="0"/>
        <w:numPr>
          <w:ilvl w:val="0"/>
          <w:numId w:val="0"/>
        </w:numPr>
        <w:spacing w:after="120"/>
        <w:jc w:val="both"/>
        <w:rPr>
          <w:rFonts w:hint="eastAsia"/>
          <w:lang w:eastAsia="zh-CN"/>
        </w:rPr>
      </w:pPr>
    </w:p>
    <w:p>
      <w:pPr>
        <w:jc w:val="center"/>
        <w:rPr>
          <w:b/>
          <w:sz w:val="36"/>
          <w:szCs w:val="36"/>
        </w:rPr>
      </w:pPr>
      <w:r>
        <w:rPr>
          <w:rFonts w:hint="eastAsia"/>
          <w:b/>
          <w:sz w:val="36"/>
          <w:szCs w:val="36"/>
        </w:rPr>
        <w:t>全自动硬度在线监控软化水设备</w:t>
      </w:r>
    </w:p>
    <w:p>
      <w:pPr>
        <w:jc w:val="center"/>
        <w:rPr>
          <w:b/>
          <w:sz w:val="36"/>
          <w:szCs w:val="36"/>
        </w:rPr>
      </w:pPr>
    </w:p>
    <w:p>
      <w:pPr>
        <w:spacing w:line="440" w:lineRule="exact"/>
        <w:ind w:firstLine="446" w:firstLineChars="148"/>
        <w:rPr>
          <w:b/>
          <w:sz w:val="30"/>
          <w:szCs w:val="30"/>
        </w:rPr>
      </w:pPr>
      <w:r>
        <w:rPr>
          <w:rFonts w:hint="eastAsia"/>
          <w:b/>
          <w:sz w:val="30"/>
          <w:szCs w:val="30"/>
        </w:rPr>
        <w:t>一、技术要求</w:t>
      </w:r>
    </w:p>
    <w:p>
      <w:pPr>
        <w:spacing w:line="440" w:lineRule="exact"/>
        <w:ind w:firstLine="480" w:firstLineChars="200"/>
        <w:rPr>
          <w:rFonts w:ascii="宋体" w:hAnsi="宋体" w:cs="Arial"/>
          <w:sz w:val="24"/>
        </w:rPr>
      </w:pPr>
      <w:r>
        <w:rPr>
          <w:rFonts w:hint="eastAsia"/>
          <w:sz w:val="24"/>
          <w:shd w:val="clear" w:color="auto" w:fill="FFFFFF"/>
        </w:rPr>
        <w:t>投标方的投标产品必须满足本项所有各条要求，除优于上述要求及提供更多免费功能外，对本项的所有条款不响应将会被视为实质上不响应，投标方必须在投标文件中以书面形式逐条说明。否则作废标处理。</w:t>
      </w:r>
    </w:p>
    <w:p>
      <w:pPr>
        <w:spacing w:line="360" w:lineRule="auto"/>
        <w:ind w:firstLine="360" w:firstLineChars="150"/>
        <w:rPr>
          <w:bCs/>
          <w:sz w:val="24"/>
        </w:rPr>
      </w:pPr>
      <w:r>
        <w:rPr>
          <w:rFonts w:hint="eastAsia" w:ascii="宋体" w:hAnsi="宋体" w:cs="Arial"/>
          <w:sz w:val="24"/>
        </w:rPr>
        <w:t>★1、系统24小时自动在线监控设备出口软化水硬度指标。</w:t>
      </w:r>
      <w:r>
        <w:rPr>
          <w:rFonts w:hint="eastAsia"/>
          <w:sz w:val="24"/>
        </w:rPr>
        <w:t>每隔10分钟对出水硬度检测一次，</w:t>
      </w:r>
      <w:r>
        <w:rPr>
          <w:rFonts w:hint="eastAsia"/>
          <w:bCs/>
          <w:sz w:val="24"/>
        </w:rPr>
        <w:t>并记录在电脑中。</w:t>
      </w:r>
      <w:r>
        <w:rPr>
          <w:rFonts w:hint="eastAsia" w:ascii="宋体" w:hAnsi="宋体" w:cs="Arial"/>
          <w:sz w:val="24"/>
        </w:rPr>
        <w:t>连续自动检测水质硬度方法介质为药剂滴定，有别于电导率硬度测试仪。</w:t>
      </w:r>
    </w:p>
    <w:p>
      <w:pPr>
        <w:spacing w:line="440" w:lineRule="exact"/>
        <w:ind w:firstLine="480" w:firstLineChars="200"/>
        <w:rPr>
          <w:rFonts w:ascii="宋体" w:hAnsi="宋体" w:cs="Arial"/>
          <w:sz w:val="24"/>
        </w:rPr>
      </w:pPr>
      <w:r>
        <w:rPr>
          <w:rFonts w:hint="eastAsia" w:ascii="宋体" w:hAnsi="宋体" w:cs="Arial"/>
          <w:sz w:val="24"/>
        </w:rPr>
        <w:t>★2、硬度监控系统与设备自动控制系统PLC连锁，且在同一控制柜内，依据水质硬度监控值自动启动软化水设备的树脂反洗，再生程序。</w:t>
      </w:r>
      <w:r>
        <w:rPr>
          <w:rFonts w:hint="eastAsia"/>
          <w:bCs/>
          <w:sz w:val="24"/>
        </w:rPr>
        <w:t>软化水设备连续 制水周期应大于12小时以上。</w:t>
      </w:r>
    </w:p>
    <w:p>
      <w:pPr>
        <w:spacing w:line="360" w:lineRule="auto"/>
        <w:ind w:firstLine="480" w:firstLineChars="200"/>
        <w:rPr>
          <w:rFonts w:ascii="宋体" w:hAnsi="宋体"/>
          <w:sz w:val="24"/>
        </w:rPr>
      </w:pPr>
      <w:r>
        <w:rPr>
          <w:rFonts w:hint="eastAsia" w:ascii="宋体" w:hAnsi="宋体" w:cs="Arial"/>
          <w:sz w:val="24"/>
        </w:rPr>
        <w:t>★3、水质超标自动报警，系统故障自动报警。</w:t>
      </w:r>
      <w:r>
        <w:rPr>
          <w:rFonts w:hint="eastAsia" w:ascii="宋体" w:hAnsi="宋体"/>
          <w:sz w:val="24"/>
        </w:rPr>
        <w:t>水处理设备所有故障报警信号可同时向10部手机发出短信，短信内容包含故障点及故障事由，直至故障解除。</w:t>
      </w:r>
    </w:p>
    <w:p>
      <w:pPr>
        <w:spacing w:line="440" w:lineRule="exact"/>
        <w:ind w:firstLine="720" w:firstLineChars="300"/>
        <w:rPr>
          <w:rFonts w:ascii="宋体" w:hAnsi="宋体" w:cs="Arial"/>
          <w:sz w:val="24"/>
        </w:rPr>
      </w:pPr>
      <w:r>
        <w:rPr>
          <w:rFonts w:hint="eastAsia" w:ascii="宋体" w:hAnsi="宋体" w:cs="Arial"/>
          <w:sz w:val="24"/>
        </w:rPr>
        <w:t>4、硬度监控系统与PLC自动控制系统及触摸屏对接。</w:t>
      </w:r>
    </w:p>
    <w:p>
      <w:pPr>
        <w:spacing w:line="440" w:lineRule="exact"/>
        <w:ind w:firstLine="720" w:firstLineChars="300"/>
        <w:rPr>
          <w:rFonts w:hint="eastAsia" w:ascii="宋体" w:hAnsi="宋体" w:cs="Arial"/>
          <w:sz w:val="24"/>
          <w:lang w:val="en-US" w:eastAsia="zh-CN"/>
        </w:rPr>
      </w:pPr>
      <w:r>
        <w:rPr>
          <w:rFonts w:hint="eastAsia" w:ascii="宋体" w:hAnsi="宋体" w:cs="Arial"/>
          <w:sz w:val="24"/>
        </w:rPr>
        <w:t>5、软水设备</w:t>
      </w:r>
      <w:r>
        <w:rPr>
          <w:rFonts w:hint="eastAsia" w:ascii="宋体" w:hAnsi="宋体" w:cs="Arial"/>
          <w:sz w:val="24"/>
          <w:lang w:val="en-US" w:eastAsia="zh-CN"/>
        </w:rPr>
        <w:t>均为双阀双罐，</w:t>
      </w:r>
      <w:r>
        <w:rPr>
          <w:rFonts w:hint="eastAsia" w:ascii="宋体" w:hAnsi="宋体" w:cs="Arial"/>
          <w:sz w:val="24"/>
        </w:rPr>
        <w:t>单套处理水量</w:t>
      </w:r>
      <w:r>
        <w:rPr>
          <w:rFonts w:hint="eastAsia" w:ascii="宋体" w:hAnsi="宋体" w:cs="Arial"/>
          <w:sz w:val="24"/>
          <w:lang w:val="en-US" w:eastAsia="zh-CN"/>
        </w:rPr>
        <w:t>应符合下表要求：</w:t>
      </w:r>
    </w:p>
    <w:tbl>
      <w:tblPr>
        <w:tblStyle w:val="27"/>
        <w:tblW w:w="8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379"/>
        <w:gridCol w:w="700"/>
        <w:gridCol w:w="244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51" w:type="dxa"/>
          </w:tcPr>
          <w:p>
            <w:pPr>
              <w:adjustRightInd w:val="0"/>
              <w:snapToGrid w:val="0"/>
              <w:jc w:val="center"/>
              <w:rPr>
                <w:rFonts w:hint="default" w:ascii="宋体" w:hAnsi="宋体"/>
                <w:b/>
                <w:kern w:val="0"/>
                <w:szCs w:val="21"/>
                <w:lang w:val="en-US" w:eastAsia="zh-CN"/>
              </w:rPr>
            </w:pPr>
            <w:r>
              <w:rPr>
                <w:rFonts w:hint="eastAsia" w:ascii="宋体" w:hAnsi="宋体"/>
                <w:b/>
                <w:kern w:val="0"/>
                <w:szCs w:val="21"/>
                <w:lang w:val="en-US" w:eastAsia="zh-CN"/>
              </w:rPr>
              <w:t>序号</w:t>
            </w:r>
          </w:p>
        </w:tc>
        <w:tc>
          <w:tcPr>
            <w:tcW w:w="3379" w:type="dxa"/>
          </w:tcPr>
          <w:p>
            <w:pPr>
              <w:adjustRightInd w:val="0"/>
              <w:snapToGrid w:val="0"/>
              <w:jc w:val="center"/>
              <w:rPr>
                <w:rFonts w:hint="eastAsia" w:ascii="宋体" w:hAnsi="宋体"/>
                <w:b/>
                <w:kern w:val="0"/>
                <w:szCs w:val="21"/>
                <w:lang w:val="en-US" w:eastAsia="zh-CN"/>
              </w:rPr>
            </w:pPr>
            <w:r>
              <w:rPr>
                <w:rFonts w:hint="eastAsia" w:ascii="宋体" w:hAnsi="宋体"/>
                <w:b/>
                <w:kern w:val="0"/>
                <w:szCs w:val="21"/>
                <w:lang w:val="en-US" w:eastAsia="zh-CN"/>
              </w:rPr>
              <w:t>项目地点</w:t>
            </w:r>
          </w:p>
        </w:tc>
        <w:tc>
          <w:tcPr>
            <w:tcW w:w="700"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单位</w:t>
            </w:r>
          </w:p>
        </w:tc>
        <w:tc>
          <w:tcPr>
            <w:tcW w:w="2443" w:type="dxa"/>
          </w:tcPr>
          <w:p>
            <w:pPr>
              <w:adjustRightInd w:val="0"/>
              <w:snapToGrid w:val="0"/>
              <w:jc w:val="center"/>
              <w:rPr>
                <w:rFonts w:hint="default" w:ascii="宋体" w:hAnsi="宋体" w:eastAsia="宋体"/>
                <w:b/>
                <w:kern w:val="0"/>
                <w:szCs w:val="21"/>
                <w:lang w:val="en-US" w:eastAsia="zh-CN"/>
              </w:rPr>
            </w:pPr>
            <w:r>
              <w:rPr>
                <w:rFonts w:hint="eastAsia" w:ascii="宋体" w:hAnsi="宋体"/>
                <w:b/>
                <w:kern w:val="0"/>
                <w:szCs w:val="21"/>
                <w:lang w:val="en-US" w:eastAsia="zh-CN"/>
              </w:rPr>
              <w:t>水处理量</w:t>
            </w:r>
          </w:p>
        </w:tc>
        <w:tc>
          <w:tcPr>
            <w:tcW w:w="787"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w:t>
            </w:r>
          </w:p>
        </w:tc>
        <w:tc>
          <w:tcPr>
            <w:tcW w:w="3379"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A区热力站</w:t>
            </w:r>
          </w:p>
        </w:tc>
        <w:tc>
          <w:tcPr>
            <w:tcW w:w="700" w:type="dxa"/>
            <w:vAlign w:val="top"/>
          </w:tcPr>
          <w:p>
            <w:pPr>
              <w:adjustRightInd w:val="0"/>
              <w:snapToGrid w:val="0"/>
              <w:jc w:val="center"/>
              <w:rPr>
                <w:rFonts w:hint="eastAsia" w:ascii="宋体" w:hAnsi="宋体" w:eastAsia="宋体" w:cstheme="minorBidi"/>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default" w:ascii="宋体" w:hAnsi="宋体" w:eastAsiaTheme="minorEastAsia" w:cstheme="minorBidi"/>
                <w:kern w:val="0"/>
                <w:sz w:val="21"/>
                <w:szCs w:val="21"/>
                <w:lang w:val="en-US" w:eastAsia="zh-CN" w:bidi="ar-SA"/>
              </w:rPr>
            </w:pPr>
            <w:r>
              <w:rPr>
                <w:rFonts w:hint="eastAsia" w:ascii="宋体" w:hAnsi="宋体"/>
                <w:kern w:val="0"/>
                <w:szCs w:val="21"/>
                <w:lang w:val="en-US" w:eastAsia="zh-CN"/>
              </w:rPr>
              <w:t>≥10t/h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2</w:t>
            </w:r>
          </w:p>
        </w:tc>
        <w:tc>
          <w:tcPr>
            <w:tcW w:w="3379"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B区热力站</w:t>
            </w:r>
          </w:p>
        </w:tc>
        <w:tc>
          <w:tcPr>
            <w:tcW w:w="700" w:type="dxa"/>
            <w:vAlign w:val="top"/>
          </w:tcPr>
          <w:p>
            <w:pPr>
              <w:adjustRightInd w:val="0"/>
              <w:snapToGrid w:val="0"/>
              <w:jc w:val="center"/>
              <w:rPr>
                <w:rFonts w:hint="eastAsia" w:ascii="宋体" w:hAnsi="宋体" w:eastAsia="宋体" w:cstheme="minorBidi"/>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≥10t/h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3</w:t>
            </w:r>
          </w:p>
        </w:tc>
        <w:tc>
          <w:tcPr>
            <w:tcW w:w="3379"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C区热力站</w:t>
            </w:r>
          </w:p>
        </w:tc>
        <w:tc>
          <w:tcPr>
            <w:tcW w:w="700" w:type="dxa"/>
            <w:vAlign w:val="top"/>
          </w:tcPr>
          <w:p>
            <w:pPr>
              <w:adjustRightInd w:val="0"/>
              <w:snapToGrid w:val="0"/>
              <w:jc w:val="center"/>
              <w:rPr>
                <w:rFonts w:hint="eastAsia" w:ascii="宋体" w:hAnsi="宋体" w:eastAsia="宋体" w:cstheme="minorBidi"/>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≥10t/h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4</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A区热力站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≥6t/h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color w:val="FF0000"/>
                <w:kern w:val="0"/>
                <w:szCs w:val="21"/>
                <w:lang w:val="en-US" w:eastAsia="zh-CN"/>
              </w:rPr>
              <w:t>5</w:t>
            </w:r>
          </w:p>
        </w:tc>
        <w:tc>
          <w:tcPr>
            <w:tcW w:w="3379"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B区热力站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6</w:t>
            </w:r>
          </w:p>
        </w:tc>
        <w:tc>
          <w:tcPr>
            <w:tcW w:w="3379"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一期热力站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≥13t/h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7</w:t>
            </w:r>
          </w:p>
        </w:tc>
        <w:tc>
          <w:tcPr>
            <w:tcW w:w="3379"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二期A热力站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≥11t/h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51"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二期B热力站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≥7t/h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default" w:ascii="宋体" w:hAnsi="宋体" w:eastAsia="宋体" w:cs="Times New Roman"/>
                <w:color w:val="FF0000"/>
                <w:kern w:val="0"/>
                <w:sz w:val="21"/>
                <w:szCs w:val="21"/>
                <w:lang w:val="en-US" w:eastAsia="zh-CN" w:bidi="ar-SA"/>
              </w:rPr>
            </w:pPr>
            <w:r>
              <w:rPr>
                <w:rFonts w:hint="eastAsia" w:ascii="宋体" w:hAnsi="宋体" w:cs="Times New Roman"/>
                <w:color w:val="FF0000"/>
                <w:kern w:val="0"/>
                <w:sz w:val="21"/>
                <w:szCs w:val="21"/>
                <w:lang w:val="en-US" w:eastAsia="zh-CN" w:bidi="ar-SA"/>
              </w:rPr>
              <w:t>9</w:t>
            </w:r>
          </w:p>
        </w:tc>
        <w:tc>
          <w:tcPr>
            <w:tcW w:w="3379"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二期C热力站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10</w:t>
            </w:r>
          </w:p>
        </w:tc>
        <w:tc>
          <w:tcPr>
            <w:tcW w:w="3379" w:type="dxa"/>
            <w:vAlign w:val="top"/>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二期E热力站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default"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11</w:t>
            </w:r>
          </w:p>
        </w:tc>
        <w:tc>
          <w:tcPr>
            <w:tcW w:w="3379"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二期热力站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≥6t/h</w:t>
            </w:r>
          </w:p>
        </w:tc>
        <w:tc>
          <w:tcPr>
            <w:tcW w:w="787"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12</w:t>
            </w:r>
          </w:p>
        </w:tc>
        <w:tc>
          <w:tcPr>
            <w:tcW w:w="3379"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1#地块热力站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≥6t/h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13</w:t>
            </w:r>
          </w:p>
        </w:tc>
        <w:tc>
          <w:tcPr>
            <w:tcW w:w="3379"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3#地块热力站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14</w:t>
            </w:r>
          </w:p>
        </w:tc>
        <w:tc>
          <w:tcPr>
            <w:tcW w:w="3379"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一期热力站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≥5t/h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15</w:t>
            </w:r>
          </w:p>
        </w:tc>
        <w:tc>
          <w:tcPr>
            <w:tcW w:w="3379"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二期东热力站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≥9t/h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16</w:t>
            </w:r>
          </w:p>
        </w:tc>
        <w:tc>
          <w:tcPr>
            <w:tcW w:w="3379"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二期西热力站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≥5t/h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17</w:t>
            </w:r>
          </w:p>
        </w:tc>
        <w:tc>
          <w:tcPr>
            <w:tcW w:w="3379"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一期东地块热力站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≥4t/h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18</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一期西地块热力站</w:t>
            </w:r>
          </w:p>
        </w:tc>
        <w:tc>
          <w:tcPr>
            <w:tcW w:w="700"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19</w:t>
            </w:r>
          </w:p>
        </w:tc>
        <w:tc>
          <w:tcPr>
            <w:tcW w:w="3379"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二期1地块热力站</w:t>
            </w:r>
          </w:p>
        </w:tc>
        <w:tc>
          <w:tcPr>
            <w:tcW w:w="700"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≥6t/h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20</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二期2地块热力站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≥5t/h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21</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二期</w:t>
            </w:r>
            <w:r>
              <w:rPr>
                <w:rFonts w:hint="eastAsia" w:ascii="宋体" w:hAnsi="宋体" w:cs="Times New Roman"/>
                <w:kern w:val="0"/>
                <w:sz w:val="21"/>
                <w:szCs w:val="21"/>
                <w:lang w:val="en-US" w:eastAsia="zh-CN" w:bidi="ar-SA"/>
              </w:rPr>
              <w:t>3</w:t>
            </w:r>
            <w:r>
              <w:rPr>
                <w:rFonts w:hint="eastAsia" w:ascii="宋体" w:hAnsi="宋体" w:eastAsia="宋体" w:cs="Times New Roman"/>
                <w:kern w:val="0"/>
                <w:sz w:val="21"/>
                <w:szCs w:val="21"/>
                <w:lang w:val="en-US" w:eastAsia="zh-CN" w:bidi="ar-SA"/>
              </w:rPr>
              <w:t>地块热力站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22</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一期热力站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≥9t/h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23</w:t>
            </w:r>
          </w:p>
        </w:tc>
        <w:tc>
          <w:tcPr>
            <w:tcW w:w="3379"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一期热力站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≥5t/h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1"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24</w:t>
            </w:r>
          </w:p>
        </w:tc>
        <w:tc>
          <w:tcPr>
            <w:tcW w:w="3379"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热力站</w:t>
            </w:r>
          </w:p>
        </w:tc>
        <w:tc>
          <w:tcPr>
            <w:tcW w:w="700"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43"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≥8t/h</w:t>
            </w:r>
          </w:p>
        </w:tc>
        <w:tc>
          <w:tcPr>
            <w:tcW w:w="78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r>
    </w:tbl>
    <w:p>
      <w:pPr>
        <w:spacing w:line="440" w:lineRule="exact"/>
        <w:ind w:firstLine="720" w:firstLineChars="300"/>
        <w:rPr>
          <w:rFonts w:hint="eastAsia" w:ascii="宋体" w:hAnsi="宋体" w:cs="Arial"/>
          <w:sz w:val="24"/>
          <w:lang w:val="en-US" w:eastAsia="zh-CN"/>
        </w:rPr>
      </w:pPr>
    </w:p>
    <w:p>
      <w:pPr>
        <w:spacing w:line="360" w:lineRule="auto"/>
        <w:ind w:firstLine="720" w:firstLineChars="300"/>
        <w:rPr>
          <w:rFonts w:ascii="宋体" w:hAnsi="宋体"/>
          <w:sz w:val="24"/>
        </w:rPr>
      </w:pPr>
      <w:r>
        <w:rPr>
          <w:rFonts w:hint="eastAsia" w:ascii="宋体" w:hAnsi="宋体" w:cs="Arial"/>
          <w:sz w:val="24"/>
        </w:rPr>
        <w:t>6、盐箱为碳钢衬胶，且取消传统的吸盐阀，注水及盐液高度自动控制。</w:t>
      </w:r>
      <w:r>
        <w:rPr>
          <w:rFonts w:hint="eastAsia" w:ascii="宋体" w:hAnsi="宋体"/>
          <w:sz w:val="24"/>
        </w:rPr>
        <w:t>再生时盐液配比浓度及盐液的正常吸入不受给水流速和压力影响，为独立系统，具有再生水泵，以确保再生程序可靠稳定。</w:t>
      </w:r>
    </w:p>
    <w:p>
      <w:pPr>
        <w:spacing w:line="360" w:lineRule="auto"/>
        <w:ind w:firstLine="600" w:firstLineChars="250"/>
        <w:rPr>
          <w:rFonts w:hint="eastAsia"/>
          <w:sz w:val="24"/>
        </w:rPr>
      </w:pPr>
      <w:r>
        <w:rPr>
          <w:rFonts w:hint="eastAsia" w:ascii="宋体" w:hAnsi="宋体" w:cs="Arial"/>
          <w:sz w:val="24"/>
        </w:rPr>
        <w:t>7、</w:t>
      </w:r>
      <w:r>
        <w:rPr>
          <w:rFonts w:hint="eastAsia"/>
          <w:sz w:val="24"/>
        </w:rPr>
        <w:t>软化水设备应具有对盐箱盐液浓度进行时时监测系统，同时对每次再生时用盐液量亦进行时时跟踪检测，当浓度不够，吸盐液量不足时，立刻报警，</w:t>
      </w:r>
      <w:r>
        <w:rPr>
          <w:rFonts w:hint="eastAsia"/>
          <w:sz w:val="24"/>
          <w:lang w:eastAsia="zh-CN"/>
        </w:rPr>
        <w:t>且</w:t>
      </w:r>
      <w:r>
        <w:rPr>
          <w:rFonts w:hint="eastAsia" w:ascii="宋体" w:hAnsi="宋体" w:cs="Arial"/>
          <w:sz w:val="24"/>
        </w:rPr>
        <w:t>PLC自动控制，当盐箱无盐液时，不启动再生程序，自动报警。</w:t>
      </w:r>
      <w:r>
        <w:rPr>
          <w:rFonts w:hint="eastAsia"/>
          <w:sz w:val="24"/>
        </w:rPr>
        <w:t>向相关人员手机短信发出报警内容信息。</w:t>
      </w:r>
    </w:p>
    <w:p>
      <w:pPr>
        <w:spacing w:line="360" w:lineRule="auto"/>
        <w:ind w:firstLine="480" w:firstLineChars="200"/>
        <w:rPr>
          <w:sz w:val="24"/>
        </w:rPr>
      </w:pPr>
      <w:r>
        <w:rPr>
          <w:rFonts w:hint="eastAsia" w:ascii="宋体" w:hAnsi="宋体" w:cs="Arial"/>
          <w:sz w:val="24"/>
        </w:rPr>
        <w:t>8、每台软水罐要有独立的中排自动控制系统。</w:t>
      </w:r>
      <w:r>
        <w:rPr>
          <w:rFonts w:hint="eastAsia"/>
          <w:sz w:val="24"/>
        </w:rPr>
        <w:t>通过对中排残液的检测得到Na离子浓度，科学确定吸盐时间；通过对中排残液的检测得到残液的硬度，科学确定快洗时间。</w:t>
      </w:r>
    </w:p>
    <w:p>
      <w:pPr>
        <w:spacing w:line="440" w:lineRule="exact"/>
        <w:ind w:firstLine="480" w:firstLineChars="200"/>
        <w:rPr>
          <w:rFonts w:ascii="宋体" w:hAnsi="宋体" w:cs="Arial"/>
          <w:sz w:val="24"/>
        </w:rPr>
      </w:pPr>
      <w:r>
        <w:rPr>
          <w:rFonts w:hint="eastAsia" w:ascii="宋体" w:hAnsi="宋体" w:cs="Arial"/>
          <w:sz w:val="24"/>
        </w:rPr>
        <w:t>9、控制方式：微机电脑自动控制，（包括软水箱液位自控，并要求整套水处理设备根据软化水箱水位自动启动补水与停止补水；软化水箱水位和盐箱液位超低超高时自动报警。）具有手动、自动切换功能。手动控制时，可以单独开启、关闭每一个阀门。</w:t>
      </w:r>
    </w:p>
    <w:p>
      <w:pPr>
        <w:spacing w:line="440" w:lineRule="exact"/>
        <w:ind w:firstLine="480" w:firstLineChars="200"/>
        <w:rPr>
          <w:rFonts w:ascii="宋体" w:hAnsi="宋体" w:cs="Arial"/>
          <w:sz w:val="24"/>
        </w:rPr>
      </w:pPr>
      <w:r>
        <w:rPr>
          <w:rFonts w:hint="eastAsia" w:ascii="宋体" w:hAnsi="宋体" w:cs="Arial"/>
          <w:sz w:val="24"/>
        </w:rPr>
        <w:t>10、运行方式：连续运行生产软化水，达无人值守。</w:t>
      </w:r>
    </w:p>
    <w:p>
      <w:pPr>
        <w:spacing w:line="440" w:lineRule="exact"/>
        <w:ind w:firstLine="480" w:firstLineChars="200"/>
        <w:rPr>
          <w:rFonts w:ascii="宋体" w:hAnsi="宋体" w:cs="Arial"/>
          <w:sz w:val="24"/>
        </w:rPr>
      </w:pPr>
      <w:r>
        <w:rPr>
          <w:rFonts w:hint="eastAsia" w:ascii="宋体" w:hAnsi="宋体" w:cs="Arial"/>
          <w:sz w:val="24"/>
        </w:rPr>
        <w:t>11、再生方式为逆流再生。</w:t>
      </w:r>
    </w:p>
    <w:p>
      <w:pPr>
        <w:spacing w:line="440" w:lineRule="exact"/>
        <w:ind w:firstLine="480" w:firstLineChars="200"/>
        <w:rPr>
          <w:rFonts w:ascii="宋体" w:hAnsi="宋体" w:cs="Arial"/>
          <w:sz w:val="24"/>
        </w:rPr>
      </w:pPr>
      <w:r>
        <w:rPr>
          <w:rFonts w:hint="eastAsia" w:ascii="宋体" w:hAnsi="宋体" w:cs="Arial"/>
          <w:sz w:val="24"/>
        </w:rPr>
        <w:t>12</w:t>
      </w:r>
      <w:r>
        <w:rPr>
          <w:rFonts w:hint="eastAsia" w:ascii="宋体" w:hAnsi="宋体"/>
          <w:sz w:val="24"/>
        </w:rPr>
        <w:t>、</w:t>
      </w:r>
      <w:r>
        <w:rPr>
          <w:rFonts w:hint="eastAsia" w:ascii="宋体" w:hAnsi="宋体" w:cs="Arial"/>
          <w:sz w:val="24"/>
        </w:rPr>
        <w:t>自动控制系统预留DCS接口。</w:t>
      </w:r>
    </w:p>
    <w:p>
      <w:pPr>
        <w:spacing w:line="440" w:lineRule="exact"/>
        <w:ind w:firstLine="480" w:firstLineChars="200"/>
        <w:rPr>
          <w:rFonts w:ascii="宋体" w:hAnsi="宋体" w:cs="Arial"/>
          <w:sz w:val="24"/>
        </w:rPr>
      </w:pPr>
      <w:r>
        <w:rPr>
          <w:rFonts w:hint="eastAsia" w:ascii="宋体" w:hAnsi="宋体"/>
          <w:sz w:val="24"/>
        </w:rPr>
        <w:t>★</w:t>
      </w:r>
      <w:r>
        <w:rPr>
          <w:rFonts w:hint="eastAsia" w:ascii="宋体" w:hAnsi="宋体" w:cs="Arial"/>
          <w:sz w:val="24"/>
        </w:rPr>
        <w:t>13、取消多路阀控制器，全部由PLC自动控制。</w:t>
      </w:r>
    </w:p>
    <w:p>
      <w:pPr>
        <w:spacing w:line="440" w:lineRule="exact"/>
        <w:ind w:firstLine="480" w:firstLineChars="200"/>
        <w:rPr>
          <w:rFonts w:ascii="宋体" w:hAnsi="宋体" w:cs="宋体"/>
          <w:sz w:val="24"/>
        </w:rPr>
      </w:pPr>
      <w:r>
        <w:rPr>
          <w:rFonts w:hint="eastAsia" w:ascii="宋体" w:hAnsi="宋体" w:cs="宋体"/>
          <w:sz w:val="24"/>
        </w:rPr>
        <w:t>★14、再生盐液自动配比，无需盐泵。</w:t>
      </w:r>
    </w:p>
    <w:p>
      <w:pPr>
        <w:spacing w:line="440" w:lineRule="exact"/>
        <w:ind w:firstLine="480" w:firstLineChars="200"/>
        <w:rPr>
          <w:rFonts w:ascii="宋体" w:hAnsi="宋体" w:cs="宋体"/>
          <w:sz w:val="24"/>
        </w:rPr>
      </w:pPr>
      <w:r>
        <w:rPr>
          <w:rFonts w:hint="eastAsia" w:ascii="宋体" w:hAnsi="宋体"/>
          <w:sz w:val="24"/>
        </w:rPr>
        <w:t>★15、</w:t>
      </w:r>
      <w:r>
        <w:rPr>
          <w:rFonts w:hint="eastAsia" w:ascii="宋体" w:hAnsi="宋体" w:cs="宋体"/>
          <w:sz w:val="24"/>
        </w:rPr>
        <w:t>投标厂家应提供至少有7年与本技术文件要求相同产品的生产销售业绩合同，且不少于4台套类似能力的货物满意地运行6年。</w:t>
      </w:r>
    </w:p>
    <w:p>
      <w:pPr>
        <w:spacing w:line="440" w:lineRule="exact"/>
        <w:ind w:firstLine="480" w:firstLineChars="200"/>
        <w:rPr>
          <w:rFonts w:ascii="宋体" w:hAnsi="宋体"/>
          <w:sz w:val="24"/>
        </w:rPr>
      </w:pPr>
      <w:r>
        <w:rPr>
          <w:rFonts w:hint="eastAsia" w:ascii="宋体" w:hAnsi="宋体"/>
          <w:sz w:val="24"/>
        </w:rPr>
        <w:t>16、控制柜板面为触摸屏显示装置。</w:t>
      </w:r>
    </w:p>
    <w:p>
      <w:pPr>
        <w:pStyle w:val="38"/>
        <w:spacing w:line="440" w:lineRule="exact"/>
        <w:rPr>
          <w:rFonts w:ascii="宋体" w:hAnsi="宋体"/>
          <w:sz w:val="24"/>
          <w:szCs w:val="24"/>
        </w:rPr>
      </w:pPr>
      <w:r>
        <w:rPr>
          <w:rFonts w:hint="eastAsia" w:ascii="宋体" w:hAnsi="宋体"/>
          <w:sz w:val="24"/>
          <w:szCs w:val="24"/>
        </w:rPr>
        <w:t>1）运行状态显示，系统运行时各阀门的工作状态，水流的走向。</w:t>
      </w:r>
    </w:p>
    <w:p>
      <w:pPr>
        <w:pStyle w:val="38"/>
        <w:spacing w:line="440" w:lineRule="exact"/>
        <w:rPr>
          <w:rFonts w:ascii="宋体" w:hAnsi="宋体"/>
          <w:sz w:val="24"/>
          <w:szCs w:val="24"/>
        </w:rPr>
      </w:pPr>
      <w:r>
        <w:rPr>
          <w:rFonts w:hint="eastAsia" w:ascii="宋体" w:hAnsi="宋体"/>
          <w:sz w:val="24"/>
          <w:szCs w:val="24"/>
        </w:rPr>
        <w:t>2）再生状态显示，系统再生每一步各阀门的工作状态，水流的走向。</w:t>
      </w:r>
    </w:p>
    <w:p>
      <w:pPr>
        <w:pStyle w:val="38"/>
        <w:spacing w:line="440" w:lineRule="exact"/>
        <w:rPr>
          <w:rFonts w:ascii="宋体" w:hAnsi="宋体"/>
          <w:sz w:val="24"/>
          <w:szCs w:val="24"/>
        </w:rPr>
      </w:pPr>
      <w:r>
        <w:rPr>
          <w:rFonts w:hint="eastAsia" w:ascii="宋体" w:hAnsi="宋体"/>
          <w:sz w:val="24"/>
          <w:szCs w:val="24"/>
        </w:rPr>
        <w:t>3）水箱水位显示，时时显示水箱水位。</w:t>
      </w:r>
    </w:p>
    <w:p>
      <w:pPr>
        <w:pStyle w:val="38"/>
        <w:spacing w:line="440" w:lineRule="exact"/>
        <w:rPr>
          <w:rFonts w:ascii="宋体" w:hAnsi="宋体"/>
          <w:sz w:val="24"/>
          <w:szCs w:val="24"/>
        </w:rPr>
      </w:pPr>
      <w:r>
        <w:rPr>
          <w:rFonts w:hint="eastAsia" w:ascii="宋体" w:hAnsi="宋体"/>
          <w:sz w:val="24"/>
          <w:szCs w:val="24"/>
        </w:rPr>
        <w:t>4）水质硬度指标显示，系统运行时出水水质硬度指标时时显示。</w:t>
      </w:r>
    </w:p>
    <w:p>
      <w:pPr>
        <w:pStyle w:val="38"/>
        <w:spacing w:line="440" w:lineRule="exact"/>
        <w:rPr>
          <w:rFonts w:ascii="宋体" w:hAnsi="宋体"/>
          <w:sz w:val="24"/>
          <w:szCs w:val="24"/>
        </w:rPr>
      </w:pPr>
      <w:r>
        <w:rPr>
          <w:rFonts w:hint="eastAsia" w:ascii="宋体" w:hAnsi="宋体"/>
          <w:sz w:val="24"/>
          <w:szCs w:val="24"/>
        </w:rPr>
        <w:t>5）水质硬度指标历史记录查询，可查询软水设备20000组历史出水水质硬度指标。</w:t>
      </w:r>
    </w:p>
    <w:p>
      <w:pPr>
        <w:pStyle w:val="38"/>
        <w:spacing w:line="440" w:lineRule="exact"/>
        <w:rPr>
          <w:rFonts w:ascii="宋体" w:hAnsi="宋体"/>
          <w:sz w:val="24"/>
          <w:szCs w:val="24"/>
        </w:rPr>
      </w:pPr>
      <w:r>
        <w:rPr>
          <w:rFonts w:hint="eastAsia" w:ascii="宋体" w:hAnsi="宋体"/>
          <w:sz w:val="24"/>
          <w:szCs w:val="24"/>
        </w:rPr>
        <w:t>6）报警显示，时时显示故障报警，水位故障、检测器故障、再生运行故障、二次反洗故障、盐箱液位故障等。</w:t>
      </w:r>
    </w:p>
    <w:p>
      <w:pPr>
        <w:pStyle w:val="38"/>
        <w:spacing w:line="440" w:lineRule="exact"/>
        <w:rPr>
          <w:rFonts w:ascii="宋体" w:hAnsi="宋体"/>
          <w:sz w:val="24"/>
          <w:szCs w:val="24"/>
        </w:rPr>
      </w:pPr>
      <w:r>
        <w:rPr>
          <w:rFonts w:hint="eastAsia" w:ascii="宋体" w:hAnsi="宋体"/>
          <w:sz w:val="24"/>
          <w:szCs w:val="24"/>
        </w:rPr>
        <w:t>7）报警记录显示，可查询历史报警记录。</w:t>
      </w:r>
    </w:p>
    <w:p>
      <w:pPr>
        <w:pStyle w:val="38"/>
        <w:spacing w:line="440" w:lineRule="exact"/>
        <w:rPr>
          <w:rFonts w:ascii="宋体" w:hAnsi="宋体"/>
          <w:sz w:val="24"/>
          <w:szCs w:val="24"/>
        </w:rPr>
      </w:pPr>
      <w:r>
        <w:rPr>
          <w:rFonts w:hint="eastAsia" w:ascii="宋体" w:hAnsi="宋体"/>
          <w:sz w:val="24"/>
          <w:szCs w:val="24"/>
        </w:rPr>
        <w:t>8）查询近5次的制水周期时间。</w:t>
      </w:r>
    </w:p>
    <w:p>
      <w:pPr>
        <w:pStyle w:val="38"/>
        <w:spacing w:line="440" w:lineRule="exact"/>
        <w:rPr>
          <w:rFonts w:ascii="宋体" w:hAnsi="宋体"/>
          <w:sz w:val="24"/>
          <w:szCs w:val="24"/>
        </w:rPr>
      </w:pPr>
      <w:r>
        <w:rPr>
          <w:rFonts w:hint="eastAsia" w:ascii="宋体" w:hAnsi="宋体"/>
          <w:sz w:val="24"/>
          <w:szCs w:val="24"/>
        </w:rPr>
        <w:t>9）盐箱液位显示。</w:t>
      </w:r>
    </w:p>
    <w:p>
      <w:pPr>
        <w:pStyle w:val="38"/>
        <w:spacing w:line="440" w:lineRule="exact"/>
        <w:rPr>
          <w:rFonts w:ascii="宋体" w:hAnsi="宋体"/>
          <w:sz w:val="24"/>
          <w:szCs w:val="24"/>
        </w:rPr>
      </w:pPr>
      <w:r>
        <w:rPr>
          <w:rFonts w:hint="eastAsia" w:ascii="宋体" w:hAnsi="宋体"/>
          <w:sz w:val="24"/>
          <w:szCs w:val="24"/>
        </w:rPr>
        <w:t>10）软水箱水位超低时不启动再生。</w:t>
      </w:r>
    </w:p>
    <w:p>
      <w:pPr>
        <w:spacing w:line="440" w:lineRule="exact"/>
        <w:ind w:firstLine="480" w:firstLineChars="200"/>
        <w:jc w:val="left"/>
        <w:rPr>
          <w:rFonts w:ascii="宋体" w:hAnsi="宋体"/>
          <w:sz w:val="24"/>
        </w:rPr>
      </w:pPr>
      <w:r>
        <w:rPr>
          <w:rFonts w:hint="eastAsia" w:ascii="宋体" w:hAnsi="宋体"/>
          <w:sz w:val="24"/>
        </w:rPr>
        <w:t>17、触摸屏可以控制的内容：</w:t>
      </w:r>
    </w:p>
    <w:p>
      <w:pPr>
        <w:pStyle w:val="38"/>
        <w:spacing w:line="440" w:lineRule="exact"/>
        <w:rPr>
          <w:rFonts w:ascii="宋体" w:hAnsi="宋体"/>
          <w:sz w:val="24"/>
          <w:szCs w:val="24"/>
        </w:rPr>
      </w:pPr>
      <w:r>
        <w:rPr>
          <w:rFonts w:hint="eastAsia" w:ascii="宋体" w:hAnsi="宋体"/>
          <w:sz w:val="24"/>
          <w:szCs w:val="24"/>
        </w:rPr>
        <w:t>1）手动自动切换控制。</w:t>
      </w:r>
    </w:p>
    <w:p>
      <w:pPr>
        <w:pStyle w:val="38"/>
        <w:spacing w:line="440" w:lineRule="exact"/>
        <w:rPr>
          <w:sz w:val="24"/>
          <w:szCs w:val="24"/>
        </w:rPr>
      </w:pPr>
      <w:r>
        <w:rPr>
          <w:rFonts w:hint="eastAsia"/>
          <w:sz w:val="24"/>
          <w:szCs w:val="24"/>
        </w:rPr>
        <w:t>2）强制再生控制。</w:t>
      </w:r>
    </w:p>
    <w:p>
      <w:pPr>
        <w:pStyle w:val="38"/>
        <w:spacing w:line="440" w:lineRule="exact"/>
        <w:rPr>
          <w:sz w:val="24"/>
          <w:szCs w:val="24"/>
        </w:rPr>
      </w:pPr>
      <w:r>
        <w:rPr>
          <w:rFonts w:hint="eastAsia"/>
          <w:sz w:val="24"/>
          <w:szCs w:val="24"/>
        </w:rPr>
        <w:t>3）强制复位控制。</w:t>
      </w:r>
    </w:p>
    <w:p>
      <w:pPr>
        <w:pStyle w:val="38"/>
        <w:spacing w:line="440" w:lineRule="exact"/>
        <w:rPr>
          <w:sz w:val="24"/>
          <w:szCs w:val="24"/>
        </w:rPr>
      </w:pPr>
      <w:r>
        <w:rPr>
          <w:rFonts w:hint="eastAsia"/>
          <w:sz w:val="24"/>
          <w:szCs w:val="24"/>
        </w:rPr>
        <w:t>4）高低水位设定。</w:t>
      </w:r>
    </w:p>
    <w:p>
      <w:pPr>
        <w:pStyle w:val="38"/>
        <w:spacing w:line="440" w:lineRule="exact"/>
        <w:rPr>
          <w:sz w:val="24"/>
          <w:szCs w:val="24"/>
        </w:rPr>
      </w:pPr>
      <w:r>
        <w:rPr>
          <w:rFonts w:hint="eastAsia"/>
          <w:sz w:val="24"/>
          <w:szCs w:val="24"/>
        </w:rPr>
        <w:t>5）流量时间设定。</w:t>
      </w:r>
    </w:p>
    <w:p>
      <w:pPr>
        <w:spacing w:line="440" w:lineRule="exact"/>
        <w:ind w:firstLine="480" w:firstLineChars="200"/>
        <w:rPr>
          <w:sz w:val="24"/>
        </w:rPr>
      </w:pPr>
      <w:r>
        <w:rPr>
          <w:rFonts w:hint="eastAsia"/>
          <w:sz w:val="24"/>
        </w:rPr>
        <w:t>6）手动运行停止控制。</w:t>
      </w:r>
    </w:p>
    <w:p>
      <w:pPr>
        <w:spacing w:line="440" w:lineRule="exact"/>
        <w:ind w:firstLine="480" w:firstLineChars="200"/>
        <w:rPr>
          <w:rFonts w:ascii="宋体" w:hAnsi="宋体"/>
          <w:sz w:val="24"/>
        </w:rPr>
      </w:pPr>
      <w:r>
        <w:rPr>
          <w:rFonts w:hint="eastAsia"/>
          <w:sz w:val="24"/>
        </w:rPr>
        <w:t>7）</w:t>
      </w:r>
      <w:r>
        <w:rPr>
          <w:rFonts w:hint="eastAsia" w:ascii="宋体" w:hAnsi="宋体"/>
          <w:sz w:val="24"/>
        </w:rPr>
        <w:t>本设备运行无人值守，运行状态及控制皆可通过DCS系统在中心控制室显示并完成。</w:t>
      </w:r>
    </w:p>
    <w:p>
      <w:pPr>
        <w:spacing w:line="440" w:lineRule="exact"/>
        <w:ind w:left="372" w:leftChars="177"/>
        <w:rPr>
          <w:rFonts w:hint="eastAsia" w:ascii="宋体" w:hAnsi="宋体"/>
          <w:sz w:val="24"/>
        </w:rPr>
      </w:pPr>
      <w:r>
        <w:rPr>
          <w:rFonts w:hint="eastAsia" w:ascii="宋体" w:hAnsi="宋体"/>
          <w:sz w:val="24"/>
        </w:rPr>
        <w:t>★18、要求软化水设备及除氧设备为同一厂家生产，不接受联合体投标。</w:t>
      </w:r>
    </w:p>
    <w:p>
      <w:pPr>
        <w:spacing w:line="440" w:lineRule="exact"/>
        <w:ind w:left="372" w:leftChars="177"/>
        <w:rPr>
          <w:rFonts w:ascii="宋体" w:hAnsi="宋体"/>
          <w:b/>
          <w:sz w:val="30"/>
          <w:szCs w:val="30"/>
        </w:rPr>
      </w:pPr>
      <w:r>
        <w:rPr>
          <w:rFonts w:hint="eastAsia" w:ascii="宋体" w:hAnsi="宋体"/>
          <w:b/>
          <w:sz w:val="30"/>
          <w:szCs w:val="30"/>
        </w:rPr>
        <w:t>二、供货范围</w:t>
      </w:r>
    </w:p>
    <w:p>
      <w:pPr>
        <w:spacing w:line="440" w:lineRule="exact"/>
        <w:ind w:firstLine="360" w:firstLineChars="150"/>
        <w:rPr>
          <w:rFonts w:ascii="宋体" w:hAnsi="宋体"/>
          <w:sz w:val="24"/>
        </w:rPr>
      </w:pPr>
      <w:r>
        <w:rPr>
          <w:rFonts w:hint="eastAsia" w:ascii="宋体" w:hAnsi="宋体"/>
          <w:sz w:val="24"/>
        </w:rPr>
        <w:t>1、硬度监控系统与PLC自动控制连锁为一体的控制柜。</w:t>
      </w:r>
    </w:p>
    <w:p>
      <w:pPr>
        <w:spacing w:line="440" w:lineRule="exact"/>
        <w:ind w:firstLine="360" w:firstLineChars="150"/>
        <w:rPr>
          <w:rFonts w:ascii="宋体" w:hAnsi="宋体"/>
          <w:sz w:val="24"/>
        </w:rPr>
      </w:pPr>
      <w:r>
        <w:rPr>
          <w:rFonts w:hint="eastAsia" w:ascii="宋体" w:hAnsi="宋体"/>
          <w:sz w:val="24"/>
        </w:rPr>
        <w:t>2、树脂罐 （</w:t>
      </w:r>
      <w:r>
        <w:rPr>
          <w:rFonts w:hint="eastAsia" w:ascii="宋体" w:hAnsi="宋体"/>
          <w:sz w:val="24"/>
          <w:lang w:val="en-US" w:eastAsia="zh-CN"/>
        </w:rPr>
        <w:t>双阀双罐</w:t>
      </w:r>
      <w:r>
        <w:rPr>
          <w:rFonts w:hint="eastAsia" w:ascii="宋体" w:hAnsi="宋体"/>
          <w:sz w:val="24"/>
        </w:rPr>
        <w:t>）</w:t>
      </w:r>
    </w:p>
    <w:p>
      <w:pPr>
        <w:spacing w:line="440" w:lineRule="exact"/>
        <w:ind w:firstLine="360" w:firstLineChars="150"/>
        <w:rPr>
          <w:rFonts w:ascii="宋体" w:hAnsi="宋体"/>
          <w:sz w:val="24"/>
        </w:rPr>
      </w:pPr>
      <w:r>
        <w:rPr>
          <w:rFonts w:hint="eastAsia" w:ascii="宋体" w:hAnsi="宋体"/>
          <w:sz w:val="24"/>
        </w:rPr>
        <w:t>3、树脂</w:t>
      </w:r>
    </w:p>
    <w:p>
      <w:pPr>
        <w:spacing w:line="440" w:lineRule="exact"/>
        <w:ind w:firstLine="360" w:firstLineChars="150"/>
        <w:rPr>
          <w:rFonts w:ascii="宋体" w:hAnsi="宋体"/>
          <w:sz w:val="24"/>
        </w:rPr>
      </w:pPr>
      <w:r>
        <w:rPr>
          <w:rFonts w:hint="eastAsia" w:ascii="宋体" w:hAnsi="宋体"/>
          <w:sz w:val="24"/>
        </w:rPr>
        <w:t>4、中排系统</w:t>
      </w:r>
    </w:p>
    <w:p>
      <w:pPr>
        <w:spacing w:line="440" w:lineRule="exact"/>
        <w:ind w:firstLine="360" w:firstLineChars="150"/>
        <w:rPr>
          <w:rFonts w:ascii="宋体" w:hAnsi="宋体"/>
          <w:sz w:val="24"/>
        </w:rPr>
      </w:pPr>
      <w:r>
        <w:rPr>
          <w:rFonts w:hint="eastAsia" w:ascii="宋体" w:hAnsi="宋体"/>
          <w:sz w:val="24"/>
        </w:rPr>
        <w:t>5、电动阀</w:t>
      </w:r>
    </w:p>
    <w:p>
      <w:pPr>
        <w:spacing w:line="440" w:lineRule="exact"/>
        <w:ind w:firstLine="360" w:firstLineChars="150"/>
        <w:rPr>
          <w:rFonts w:ascii="宋体" w:hAnsi="宋体"/>
          <w:color w:val="auto"/>
          <w:sz w:val="24"/>
        </w:rPr>
      </w:pPr>
      <w:r>
        <w:rPr>
          <w:rFonts w:hint="eastAsia" w:ascii="宋体" w:hAnsi="宋体"/>
          <w:color w:val="auto"/>
          <w:sz w:val="24"/>
        </w:rPr>
        <w:t>6、电磁阀等</w:t>
      </w:r>
    </w:p>
    <w:p>
      <w:pPr>
        <w:spacing w:line="440" w:lineRule="exact"/>
        <w:ind w:firstLine="446" w:firstLineChars="148"/>
        <w:rPr>
          <w:rFonts w:ascii="宋体" w:hAnsi="宋体"/>
          <w:b/>
          <w:sz w:val="30"/>
          <w:szCs w:val="30"/>
        </w:rPr>
      </w:pPr>
      <w:r>
        <w:rPr>
          <w:rFonts w:hint="eastAsia" w:ascii="宋体" w:hAnsi="宋体"/>
          <w:b/>
          <w:sz w:val="30"/>
          <w:szCs w:val="30"/>
        </w:rPr>
        <w:t>三、提交资料</w:t>
      </w:r>
    </w:p>
    <w:p>
      <w:pPr>
        <w:spacing w:line="440" w:lineRule="exact"/>
        <w:ind w:firstLine="360" w:firstLineChars="150"/>
        <w:rPr>
          <w:rFonts w:ascii="宋体" w:hAnsi="宋体"/>
          <w:sz w:val="24"/>
        </w:rPr>
      </w:pPr>
      <w:r>
        <w:rPr>
          <w:rFonts w:hint="eastAsia" w:ascii="宋体" w:hAnsi="宋体"/>
          <w:sz w:val="24"/>
        </w:rPr>
        <w:t>1、提供整套设备的工艺流程图，设备平面布置图，基础平、立面图和主要安装尺寸。</w:t>
      </w:r>
    </w:p>
    <w:p>
      <w:pPr>
        <w:spacing w:line="440" w:lineRule="exact"/>
        <w:ind w:firstLine="360" w:firstLineChars="150"/>
        <w:rPr>
          <w:rFonts w:ascii="宋体" w:hAnsi="宋体"/>
          <w:sz w:val="24"/>
        </w:rPr>
      </w:pPr>
      <w:r>
        <w:rPr>
          <w:rFonts w:hint="eastAsia" w:ascii="宋体" w:hAnsi="宋体"/>
          <w:sz w:val="24"/>
        </w:rPr>
        <w:t>2、提供设备型号、性能参数和安装、运行及控制等技术资料。</w:t>
      </w:r>
    </w:p>
    <w:p>
      <w:pPr>
        <w:spacing w:line="440" w:lineRule="exact"/>
        <w:ind w:firstLine="360" w:firstLineChars="150"/>
        <w:rPr>
          <w:rFonts w:ascii="宋体" w:hAnsi="宋体"/>
          <w:sz w:val="24"/>
        </w:rPr>
      </w:pPr>
      <w:r>
        <w:rPr>
          <w:rFonts w:hint="eastAsia" w:ascii="宋体" w:hAnsi="宋体"/>
          <w:sz w:val="24"/>
        </w:rPr>
        <w:t>3、提供易损易耗部件及材料。</w:t>
      </w:r>
    </w:p>
    <w:p>
      <w:pPr>
        <w:rPr>
          <w:rFonts w:hint="default"/>
          <w:lang w:val="en-US" w:eastAsia="zh-CN"/>
        </w:rPr>
      </w:pPr>
    </w:p>
    <w:sectPr>
      <w:footerReference r:id="rId8"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7"/>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jc w:val="right"/>
      <w:rPr>
        <w:rStyle w:val="30"/>
      </w:rPr>
    </w:pPr>
  </w:p>
  <w:p>
    <w:pPr>
      <w:pStyle w:val="17"/>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7"/>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7"/>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86D22"/>
    <w:multiLevelType w:val="singleLevel"/>
    <w:tmpl w:val="68C86D2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825EE2"/>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7"/>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7">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next w:val="1"/>
    <w:link w:val="43"/>
    <w:qFormat/>
    <w:uiPriority w:val="99"/>
    <w:pPr>
      <w:spacing w:after="120"/>
    </w:pPr>
  </w:style>
  <w:style w:type="paragraph" w:styleId="13">
    <w:name w:val="toc 3"/>
    <w:basedOn w:val="1"/>
    <w:next w:val="1"/>
    <w:qFormat/>
    <w:uiPriority w:val="0"/>
    <w:pPr>
      <w:ind w:left="400" w:leftChars="400"/>
    </w:pPr>
  </w:style>
  <w:style w:type="paragraph" w:styleId="14">
    <w:name w:val="Plain Text"/>
    <w:basedOn w:val="1"/>
    <w:qFormat/>
    <w:uiPriority w:val="0"/>
    <w:pPr>
      <w:adjustRightInd w:val="0"/>
      <w:spacing w:line="312" w:lineRule="atLeast"/>
      <w:textAlignment w:val="baseline"/>
    </w:pPr>
    <w:rPr>
      <w:rFonts w:ascii="宋体"/>
      <w:kern w:val="0"/>
      <w:szCs w:val="20"/>
    </w:rPr>
  </w:style>
  <w:style w:type="paragraph" w:styleId="15">
    <w:name w:val="Date"/>
    <w:basedOn w:val="1"/>
    <w:next w:val="1"/>
    <w:qFormat/>
    <w:uiPriority w:val="0"/>
    <w:pPr>
      <w:ind w:left="2500" w:leftChars="25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Tahoma" w:hAnsi="Tahoma"/>
      <w:b/>
      <w:sz w:val="18"/>
      <w:szCs w:val="18"/>
    </w:rPr>
  </w:style>
  <w:style w:type="paragraph" w:styleId="18">
    <w:name w:val="header"/>
    <w:basedOn w:val="1"/>
    <w:next w:val="19"/>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9">
    <w:name w:val="引用1"/>
    <w:basedOn w:val="1"/>
    <w:next w:val="1"/>
    <w:qFormat/>
    <w:uiPriority w:val="0"/>
    <w:pPr>
      <w:ind w:left="864" w:right="864"/>
      <w:jc w:val="center"/>
    </w:pPr>
    <w:rPr>
      <w:rFonts w:ascii="Times New Roman" w:hAnsi="Times New Roman"/>
      <w:i/>
      <w:iCs/>
      <w:color w:val="404040"/>
    </w:rPr>
  </w:style>
  <w:style w:type="paragraph" w:styleId="20">
    <w:name w:val="toc 1"/>
    <w:basedOn w:val="1"/>
    <w:next w:val="1"/>
    <w:qFormat/>
    <w:uiPriority w:val="0"/>
  </w:style>
  <w:style w:type="paragraph" w:styleId="21">
    <w:name w:val="toc 2"/>
    <w:basedOn w:val="1"/>
    <w:next w:val="1"/>
    <w:qFormat/>
    <w:uiPriority w:val="0"/>
    <w:pPr>
      <w:ind w:left="200" w:leftChars="200"/>
    </w:pPr>
  </w:style>
  <w:style w:type="paragraph" w:styleId="22">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3">
    <w:name w:val="Title"/>
    <w:basedOn w:val="1"/>
    <w:next w:val="1"/>
    <w:link w:val="51"/>
    <w:qFormat/>
    <w:uiPriority w:val="0"/>
    <w:pPr>
      <w:spacing w:before="240" w:after="60"/>
      <w:jc w:val="center"/>
      <w:outlineLvl w:val="0"/>
    </w:pPr>
    <w:rPr>
      <w:rFonts w:ascii="Cambria" w:hAnsi="Cambria"/>
      <w:b/>
      <w:bCs/>
      <w:sz w:val="32"/>
      <w:szCs w:val="32"/>
    </w:rPr>
  </w:style>
  <w:style w:type="paragraph" w:styleId="24">
    <w:name w:val="annotation subject"/>
    <w:basedOn w:val="10"/>
    <w:next w:val="10"/>
    <w:qFormat/>
    <w:uiPriority w:val="0"/>
    <w:rPr>
      <w:b/>
      <w:bCs/>
    </w:rPr>
  </w:style>
  <w:style w:type="paragraph" w:styleId="25">
    <w:name w:val="Body Text First Indent"/>
    <w:basedOn w:val="12"/>
    <w:qFormat/>
    <w:uiPriority w:val="0"/>
    <w:pPr>
      <w:spacing w:line="360" w:lineRule="auto"/>
      <w:ind w:firstLine="100" w:firstLineChars="100"/>
      <w:outlineLvl w:val="0"/>
    </w:pPr>
    <w:rPr>
      <w:bCs/>
      <w:color w:val="000000"/>
      <w:kern w:val="28"/>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1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3"/>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4">
    <w:name w:val="标题 32"/>
    <w:basedOn w:val="1"/>
    <w:qFormat/>
    <w:uiPriority w:val="0"/>
    <w:pPr>
      <w:widowControl/>
      <w:jc w:val="left"/>
      <w:outlineLvl w:val="3"/>
    </w:pPr>
    <w:rPr>
      <w:rFonts w:ascii="宋体" w:hAnsi="宋体" w:cs="宋体"/>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0</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2023-08-02T08:17:00Z</cp:lastPrinted>
  <dcterms:modified xsi:type="dcterms:W3CDTF">2023-08-04T08:08:19Z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