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after="0"/>
        <w:ind w:firstLine="0" w:firstLineChars="0"/>
        <w:rPr>
          <w:color w:val="auto"/>
          <w:sz w:val="44"/>
          <w:szCs w:val="44"/>
        </w:rPr>
      </w:pPr>
    </w:p>
    <w:p>
      <w:pPr>
        <w:pStyle w:val="26"/>
        <w:spacing w:after="0"/>
        <w:ind w:firstLine="0" w:firstLineChars="0"/>
        <w:jc w:val="center"/>
        <w:rPr>
          <w:rFonts w:ascii="宋体" w:hAnsi="宋体" w:cs="宋体"/>
          <w:b/>
          <w:color w:val="auto"/>
          <w:kern w:val="2"/>
          <w:sz w:val="44"/>
          <w:szCs w:val="44"/>
        </w:rPr>
      </w:pPr>
      <w:r>
        <w:rPr>
          <w:rFonts w:hint="eastAsia" w:ascii="宋体" w:hAnsi="宋体" w:cs="宋体"/>
          <w:b/>
          <w:color w:val="auto"/>
          <w:kern w:val="2"/>
          <w:sz w:val="44"/>
          <w:szCs w:val="44"/>
        </w:rPr>
        <w:t>石家庄承宏工程建设有限公司</w:t>
      </w:r>
    </w:p>
    <w:p>
      <w:pPr>
        <w:spacing w:before="295"/>
        <w:ind w:left="871" w:right="871"/>
        <w:jc w:val="center"/>
        <w:rPr>
          <w:rFonts w:hint="eastAsia" w:ascii="宋体" w:hAnsi="宋体" w:cs="宋体"/>
          <w:b/>
          <w:bCs/>
          <w:sz w:val="44"/>
          <w:szCs w:val="44"/>
          <w:lang w:eastAsia="zh-CN"/>
        </w:rPr>
      </w:pPr>
      <w:r>
        <w:rPr>
          <w:rFonts w:hint="eastAsia" w:ascii="宋体" w:hAnsi="宋体" w:cs="宋体"/>
          <w:b/>
          <w:bCs/>
          <w:sz w:val="44"/>
          <w:szCs w:val="44"/>
          <w:lang w:val="en-US" w:eastAsia="zh-CN"/>
        </w:rPr>
        <w:t>应急物资采购</w:t>
      </w:r>
      <w:r>
        <w:rPr>
          <w:rFonts w:hint="eastAsia" w:ascii="宋体" w:hAnsi="宋体" w:cs="宋体"/>
          <w:b/>
          <w:bCs/>
          <w:sz w:val="44"/>
          <w:szCs w:val="44"/>
          <w:lang w:eastAsia="zh-CN"/>
        </w:rPr>
        <w:t>项目（九）</w:t>
      </w:r>
    </w:p>
    <w:p>
      <w:pPr>
        <w:spacing w:before="295"/>
        <w:ind w:left="871" w:right="871"/>
        <w:jc w:val="center"/>
        <w:rPr>
          <w:rFonts w:hint="default" w:ascii="宋体" w:hAnsi="宋体" w:eastAsia="宋体" w:cs="宋体"/>
          <w:b/>
          <w:bCs/>
          <w:sz w:val="44"/>
          <w:szCs w:val="44"/>
          <w:lang w:val="en-US" w:eastAsia="zh-CN"/>
        </w:rPr>
      </w:pPr>
      <w:r>
        <w:rPr>
          <w:rFonts w:hint="eastAsia" w:ascii="宋体" w:hAnsi="宋体" w:cs="宋体"/>
          <w:b/>
          <w:bCs/>
          <w:sz w:val="44"/>
          <w:szCs w:val="44"/>
          <w:lang w:val="en-US" w:eastAsia="zh-CN"/>
        </w:rPr>
        <w:t>离心式热泵机组</w:t>
      </w:r>
    </w:p>
    <w:p>
      <w:pPr>
        <w:pStyle w:val="13"/>
        <w:spacing w:after="0" w:line="360" w:lineRule="auto"/>
        <w:jc w:val="center"/>
        <w:rPr>
          <w:rFonts w:ascii="黑体" w:hAnsi="黑体" w:eastAsia="黑体" w:cs="宋体"/>
          <w:b/>
          <w:bCs/>
          <w:snapToGrid w:val="0"/>
          <w:kern w:val="0"/>
          <w:sz w:val="40"/>
          <w:szCs w:val="40"/>
        </w:rPr>
      </w:pPr>
    </w:p>
    <w:p>
      <w:pPr>
        <w:pStyle w:val="13"/>
        <w:spacing w:after="0" w:line="360" w:lineRule="auto"/>
        <w:jc w:val="center"/>
        <w:rPr>
          <w:rFonts w:ascii="黑体" w:hAnsi="黑体" w:eastAsia="黑体" w:cs="宋体"/>
          <w:b/>
          <w:bCs/>
          <w:snapToGrid w:val="0"/>
          <w:kern w:val="0"/>
          <w:sz w:val="40"/>
          <w:szCs w:val="40"/>
        </w:rPr>
      </w:pPr>
    </w:p>
    <w:p>
      <w:pPr>
        <w:pStyle w:val="13"/>
        <w:spacing w:after="0" w:line="360" w:lineRule="auto"/>
        <w:jc w:val="center"/>
        <w:rPr>
          <w:rFonts w:ascii="黑体" w:hAnsi="黑体" w:eastAsia="黑体" w:cs="宋体"/>
          <w:snapToGrid w:val="0"/>
          <w:kern w:val="0"/>
          <w:sz w:val="36"/>
          <w:szCs w:val="36"/>
        </w:rPr>
      </w:pPr>
    </w:p>
    <w:p>
      <w:pPr>
        <w:pStyle w:val="13"/>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13"/>
        <w:spacing w:after="0" w:line="360" w:lineRule="auto"/>
        <w:jc w:val="center"/>
        <w:rPr>
          <w:rFonts w:ascii="黑体" w:hAnsi="黑体" w:eastAsia="黑体" w:cs="宋体"/>
          <w:snapToGrid w:val="0"/>
          <w:kern w:val="0"/>
          <w:sz w:val="36"/>
          <w:szCs w:val="36"/>
        </w:rPr>
      </w:pPr>
    </w:p>
    <w:p>
      <w:pPr>
        <w:pStyle w:val="26"/>
        <w:spacing w:after="0"/>
        <w:ind w:firstLine="241"/>
        <w:rPr>
          <w:rFonts w:ascii="Tahoma" w:hAnsi="Tahoma"/>
          <w:b/>
          <w:sz w:val="24"/>
        </w:rPr>
      </w:pPr>
    </w:p>
    <w:p>
      <w:pPr>
        <w:widowControl/>
        <w:spacing w:line="360" w:lineRule="auto"/>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rPr>
          <w:rFonts w:ascii="宋体" w:cs="宋体"/>
          <w:b/>
          <w:kern w:val="0"/>
          <w:sz w:val="36"/>
          <w:szCs w:val="36"/>
        </w:rPr>
      </w:pPr>
    </w:p>
    <w:p>
      <w:pPr>
        <w:widowControl/>
        <w:spacing w:line="360" w:lineRule="auto"/>
        <w:jc w:val="center"/>
        <w:rPr>
          <w:rFonts w:ascii="宋体" w:cs="宋体"/>
          <w:b/>
          <w:kern w:val="0"/>
          <w:sz w:val="36"/>
          <w:szCs w:val="36"/>
        </w:rPr>
      </w:pPr>
      <w:r>
        <w:rPr>
          <w:rFonts w:hint="eastAsia" w:ascii="宋体" w:cs="宋体"/>
          <w:b/>
          <w:kern w:val="0"/>
          <w:sz w:val="36"/>
          <w:szCs w:val="36"/>
        </w:rPr>
        <w:t>发布人：石家庄承宏工程建设有限公司</w:t>
      </w:r>
    </w:p>
    <w:p>
      <w:pPr>
        <w:widowControl/>
        <w:spacing w:line="360" w:lineRule="auto"/>
        <w:ind w:firstLine="361" w:firstLineChars="100"/>
        <w:jc w:val="center"/>
        <w:rPr>
          <w:rFonts w:ascii="宋体" w:cs="宋体"/>
          <w:b/>
          <w:kern w:val="0"/>
          <w:sz w:val="36"/>
          <w:szCs w:val="36"/>
        </w:rPr>
      </w:pPr>
    </w:p>
    <w:p>
      <w:pPr>
        <w:widowControl/>
        <w:spacing w:line="360" w:lineRule="auto"/>
        <w:jc w:val="center"/>
        <w:rPr>
          <w:rFonts w:ascii="宋体" w:cs="宋体"/>
          <w:b/>
          <w:kern w:val="0"/>
          <w:sz w:val="30"/>
          <w:szCs w:val="30"/>
        </w:rPr>
      </w:pPr>
      <w:r>
        <w:rPr>
          <w:rFonts w:hint="eastAsia" w:ascii="宋体" w:cs="宋体"/>
          <w:b/>
          <w:kern w:val="0"/>
          <w:sz w:val="36"/>
          <w:szCs w:val="36"/>
        </w:rPr>
        <w:t>2023年</w:t>
      </w:r>
      <w:r>
        <w:rPr>
          <w:rFonts w:hint="eastAsia" w:ascii="宋体" w:cs="宋体"/>
          <w:b/>
          <w:kern w:val="0"/>
          <w:sz w:val="36"/>
          <w:szCs w:val="36"/>
          <w:lang w:val="en-US" w:eastAsia="zh-CN"/>
        </w:rPr>
        <w:t>8</w:t>
      </w:r>
      <w:r>
        <w:rPr>
          <w:rFonts w:hint="eastAsia" w:ascii="宋体" w:cs="宋体"/>
          <w:b/>
          <w:kern w:val="0"/>
          <w:sz w:val="36"/>
          <w:szCs w:val="36"/>
        </w:rPr>
        <w:t>月</w:t>
      </w:r>
    </w:p>
    <w:p>
      <w:pPr>
        <w:spacing w:line="360" w:lineRule="auto"/>
        <w:rPr>
          <w:sz w:val="30"/>
          <w:szCs w:val="30"/>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
      <w:pPr>
        <w:jc w:val="center"/>
        <w:outlineLvl w:val="0"/>
        <w:rPr>
          <w:rFonts w:ascii="宋体" w:cs="宋体"/>
          <w:kern w:val="0"/>
          <w:sz w:val="36"/>
          <w:szCs w:val="36"/>
        </w:rPr>
      </w:pPr>
      <w:bookmarkStart w:id="0" w:name="_Toc27485"/>
      <w:bookmarkStart w:id="1" w:name="_Toc29917"/>
      <w:bookmarkStart w:id="2" w:name="_Toc15937"/>
      <w:bookmarkStart w:id="3" w:name="_Toc16820"/>
      <w:bookmarkStart w:id="4" w:name="_Toc9252"/>
      <w:bookmarkStart w:id="5" w:name="_Toc1893"/>
      <w:bookmarkStart w:id="6" w:name="_Toc7028"/>
      <w:bookmarkStart w:id="7" w:name="_Toc9360"/>
      <w:bookmarkStart w:id="8" w:name="_Toc475527101"/>
      <w:r>
        <w:rPr>
          <w:rFonts w:hint="eastAsia" w:ascii="宋体" w:cs="宋体"/>
          <w:kern w:val="0"/>
          <w:sz w:val="36"/>
          <w:szCs w:val="36"/>
        </w:rPr>
        <w:t>目  录</w:t>
      </w:r>
      <w:bookmarkEnd w:id="0"/>
      <w:bookmarkEnd w:id="1"/>
      <w:bookmarkEnd w:id="2"/>
      <w:bookmarkEnd w:id="3"/>
      <w:bookmarkEnd w:id="4"/>
      <w:bookmarkEnd w:id="5"/>
      <w:bookmarkEnd w:id="6"/>
      <w:bookmarkEnd w:id="7"/>
    </w:p>
    <w:p>
      <w:pPr>
        <w:pStyle w:val="13"/>
        <w:rPr>
          <w:sz w:val="40"/>
        </w:rPr>
      </w:pPr>
    </w:p>
    <w:p>
      <w:pPr>
        <w:pStyle w:val="13"/>
        <w:ind w:firstLine="933" w:firstLineChars="300"/>
        <w:rPr>
          <w:sz w:val="32"/>
        </w:rPr>
      </w:pPr>
      <w:r>
        <w:rPr>
          <w:rFonts w:hint="eastAsia"/>
          <w:sz w:val="32"/>
        </w:rPr>
        <w:t>第</w:t>
      </w:r>
      <w:r>
        <w:rPr>
          <w:rFonts w:hint="eastAsia"/>
          <w:sz w:val="32"/>
          <w:lang w:eastAsia="zh-CN"/>
        </w:rPr>
        <w:t>一</w:t>
      </w:r>
      <w:r>
        <w:rPr>
          <w:rFonts w:hint="eastAsia"/>
          <w:sz w:val="32"/>
        </w:rPr>
        <w:t>章   参选人须知</w:t>
      </w:r>
    </w:p>
    <w:p>
      <w:pPr>
        <w:pStyle w:val="13"/>
        <w:ind w:firstLine="933" w:firstLineChars="300"/>
        <w:rPr>
          <w:rFonts w:hint="eastAsia"/>
          <w:sz w:val="32"/>
        </w:rPr>
      </w:pPr>
      <w:r>
        <w:rPr>
          <w:rFonts w:hint="eastAsia"/>
          <w:sz w:val="32"/>
        </w:rPr>
        <w:t>第</w:t>
      </w:r>
      <w:r>
        <w:rPr>
          <w:rFonts w:hint="eastAsia"/>
          <w:sz w:val="32"/>
          <w:lang w:eastAsia="zh-CN"/>
        </w:rPr>
        <w:t>二</w:t>
      </w:r>
      <w:r>
        <w:rPr>
          <w:rFonts w:hint="eastAsia"/>
          <w:sz w:val="32"/>
        </w:rPr>
        <w:t>章   响应文件格式</w:t>
      </w:r>
    </w:p>
    <w:p>
      <w:pPr>
        <w:rPr>
          <w:rFonts w:hint="default" w:eastAsia="宋体"/>
          <w:lang w:val="en-US" w:eastAsia="zh-CN"/>
        </w:rPr>
      </w:pPr>
      <w:r>
        <w:rPr>
          <w:rFonts w:hint="eastAsia"/>
          <w:sz w:val="32"/>
          <w:lang w:val="en-US" w:eastAsia="zh-CN"/>
        </w:rPr>
        <w:t xml:space="preserve">      第三章   技术要求</w:t>
      </w:r>
    </w:p>
    <w:bookmarkEnd w:id="8"/>
    <w:p>
      <w:pPr>
        <w:spacing w:line="720" w:lineRule="auto"/>
        <w:jc w:val="center"/>
        <w:outlineLvl w:val="1"/>
        <w:rPr>
          <w:rFonts w:hint="eastAsia" w:ascii="宋体" w:cs="宋体"/>
          <w:b/>
          <w:bCs/>
          <w:snapToGrid w:val="0"/>
          <w:kern w:val="0"/>
          <w:sz w:val="44"/>
          <w:szCs w:val="44"/>
        </w:rPr>
      </w:pPr>
      <w:bookmarkStart w:id="9" w:name="_Toc19817"/>
      <w:bookmarkStart w:id="10" w:name="_Toc23647"/>
      <w:bookmarkStart w:id="11" w:name="_Toc9249"/>
      <w:bookmarkStart w:id="12" w:name="_Toc17223"/>
      <w:bookmarkStart w:id="13" w:name="_Toc3275"/>
      <w:bookmarkStart w:id="14" w:name="_Toc10675"/>
      <w:bookmarkStart w:id="15" w:name="_Toc23301"/>
      <w:bookmarkStart w:id="16" w:name="_Toc12829"/>
      <w:bookmarkStart w:id="17" w:name="_Toc13783"/>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r>
        <w:rPr>
          <w:rFonts w:hint="eastAsia" w:ascii="宋体" w:cs="宋体"/>
          <w:b/>
          <w:bCs/>
          <w:snapToGrid w:val="0"/>
          <w:kern w:val="0"/>
          <w:sz w:val="44"/>
          <w:szCs w:val="44"/>
        </w:rPr>
        <w:t>第</w:t>
      </w:r>
      <w:r>
        <w:rPr>
          <w:rFonts w:hint="eastAsia" w:ascii="宋体" w:cs="宋体"/>
          <w:b/>
          <w:bCs/>
          <w:snapToGrid w:val="0"/>
          <w:kern w:val="0"/>
          <w:sz w:val="44"/>
          <w:szCs w:val="44"/>
          <w:lang w:eastAsia="zh-CN"/>
        </w:rPr>
        <w:t>一</w:t>
      </w:r>
      <w:r>
        <w:rPr>
          <w:rFonts w:hint="eastAsia" w:ascii="宋体" w:cs="宋体"/>
          <w:b/>
          <w:bCs/>
          <w:snapToGrid w:val="0"/>
          <w:kern w:val="0"/>
          <w:sz w:val="44"/>
          <w:szCs w:val="44"/>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eastAsia="zh-CN"/>
        </w:rPr>
      </w:pPr>
      <w:bookmarkStart w:id="18" w:name="_Toc4359"/>
      <w:bookmarkStart w:id="19" w:name="_Toc23909"/>
      <w:bookmarkStart w:id="20" w:name="_Toc32441"/>
      <w:bookmarkStart w:id="21" w:name="_Toc18909"/>
      <w:bookmarkStart w:id="22" w:name="_Toc421110024"/>
      <w:bookmarkStart w:id="23" w:name="_Toc28077"/>
      <w:bookmarkStart w:id="24" w:name="_Toc14296"/>
      <w:bookmarkStart w:id="25" w:name="_Toc1433"/>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一、</w:t>
      </w:r>
      <w:r>
        <w:rPr>
          <w:rFonts w:hint="eastAsia" w:ascii="宋体" w:hAnsi="宋体" w:cs="宋体"/>
          <w:b/>
          <w:bCs/>
          <w:color w:val="000000"/>
          <w:kern w:val="0"/>
          <w:sz w:val="24"/>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由合规科、工程科、预算科组建评标小组，</w:t>
      </w:r>
      <w:r>
        <w:rPr>
          <w:rFonts w:hint="eastAsia" w:ascii="宋体" w:hAnsi="宋体" w:cs="宋体"/>
          <w:color w:val="000000"/>
          <w:kern w:val="0"/>
          <w:sz w:val="24"/>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2.评审以基本资格要求和专项资格要求（业绩、生产能力）等为主要指标，综合考虑企业生产管理状况、合同执行情况以及售后服务等因素进行评价审查。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4.评价审查的最终结果</w:t>
      </w:r>
      <w:r>
        <w:rPr>
          <w:rFonts w:hint="eastAsia" w:ascii="宋体" w:hAnsi="宋体" w:cs="宋体"/>
          <w:color w:val="000000"/>
          <w:kern w:val="0"/>
          <w:sz w:val="24"/>
          <w:lang w:eastAsia="zh-CN"/>
        </w:rPr>
        <w:t>入围本项目合格供应商</w:t>
      </w:r>
      <w:r>
        <w:rPr>
          <w:rFonts w:hint="eastAsia" w:ascii="宋体" w:hAnsi="宋体" w:cs="宋体"/>
          <w:color w:val="000000"/>
          <w:kern w:val="0"/>
          <w:sz w:val="24"/>
        </w:rPr>
        <w:t>。</w:t>
      </w:r>
    </w:p>
    <w:p>
      <w:pPr>
        <w:pStyle w:val="13"/>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cs="宋体"/>
          <w:kern w:val="0"/>
          <w:sz w:val="24"/>
          <w:lang w:val="en-US" w:eastAsia="zh-CN"/>
        </w:rPr>
        <w:t>5.</w:t>
      </w:r>
      <w:r>
        <w:rPr>
          <w:rFonts w:hint="eastAsia" w:ascii="宋体" w:cs="宋体"/>
          <w:kern w:val="0"/>
          <w:sz w:val="24"/>
        </w:rPr>
        <w:t>比选活动</w:t>
      </w:r>
      <w:r>
        <w:rPr>
          <w:rFonts w:hint="eastAsia" w:ascii="宋体" w:cs="宋体"/>
          <w:kern w:val="0"/>
          <w:sz w:val="24"/>
          <w:highlight w:val="none"/>
        </w:rPr>
        <w:t>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w:t>
      </w:r>
      <w:r>
        <w:rPr>
          <w:rFonts w:hint="eastAsia" w:ascii="宋体" w:hAnsi="宋体" w:cs="宋体"/>
          <w:b/>
          <w:bCs/>
          <w:color w:val="000000"/>
          <w:kern w:val="0"/>
          <w:sz w:val="24"/>
          <w:lang w:eastAsia="zh-CN"/>
        </w:rPr>
        <w:t>响应</w:t>
      </w:r>
      <w:r>
        <w:rPr>
          <w:rFonts w:hint="eastAsia" w:ascii="宋体" w:hAnsi="宋体" w:cs="宋体"/>
          <w:b/>
          <w:bCs/>
          <w:color w:val="000000"/>
          <w:kern w:val="0"/>
          <w:sz w:val="24"/>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提交的</w:t>
      </w:r>
      <w:r>
        <w:rPr>
          <w:rFonts w:hint="eastAsia" w:ascii="宋体" w:hAnsi="宋体" w:cs="宋体"/>
          <w:color w:val="000000"/>
          <w:kern w:val="0"/>
          <w:sz w:val="24"/>
          <w:lang w:eastAsia="zh-CN"/>
        </w:rPr>
        <w:t>响应</w:t>
      </w:r>
      <w:r>
        <w:rPr>
          <w:rFonts w:hint="eastAsia" w:ascii="宋体" w:hAnsi="宋体" w:cs="宋体"/>
          <w:color w:val="000000"/>
          <w:kern w:val="0"/>
          <w:sz w:val="24"/>
        </w:rPr>
        <w:t>文件必须包括但不限于以下内容（要求按以下顺序</w:t>
      </w:r>
      <w:r>
        <w:rPr>
          <w:rFonts w:hint="eastAsia" w:ascii="宋体" w:hAnsi="宋体" w:cs="宋体"/>
          <w:color w:val="000000"/>
          <w:kern w:val="0"/>
          <w:sz w:val="24"/>
          <w:lang w:eastAsia="zh-CN"/>
        </w:rPr>
        <w:t>逐页</w:t>
      </w:r>
      <w:r>
        <w:rPr>
          <w:rFonts w:hint="eastAsia" w:ascii="宋体" w:hAnsi="宋体" w:cs="宋体"/>
          <w:color w:val="000000"/>
          <w:kern w:val="0"/>
          <w:sz w:val="24"/>
        </w:rPr>
        <w:t>加盖公章）。应保证提供评审资料的真实性，并承担相应的法律责任，一旦查实提供资料弄虚作假等情况，将直接取消</w:t>
      </w:r>
      <w:r>
        <w:rPr>
          <w:rFonts w:hint="eastAsia" w:ascii="宋体" w:hAnsi="宋体" w:cs="宋体"/>
          <w:color w:val="000000"/>
          <w:kern w:val="0"/>
          <w:sz w:val="24"/>
          <w:lang w:eastAsia="zh-CN"/>
        </w:rPr>
        <w:t>比选</w:t>
      </w:r>
      <w:r>
        <w:rPr>
          <w:rFonts w:hint="eastAsia" w:ascii="宋体" w:hAnsi="宋体" w:cs="宋体"/>
          <w:color w:val="000000"/>
          <w:kern w:val="0"/>
          <w:sz w:val="24"/>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（一）基本情况</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响应函</w:t>
      </w:r>
      <w:r>
        <w:rPr>
          <w:rFonts w:hint="eastAsia" w:ascii="宋体" w:hAnsi="宋体" w:cs="宋体"/>
          <w:color w:val="000000"/>
          <w:kern w:val="0"/>
          <w:sz w:val="24"/>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w:t>
      </w:r>
      <w:r>
        <w:rPr>
          <w:rFonts w:hint="eastAsia" w:ascii="宋体" w:hAnsi="宋体" w:cs="宋体"/>
          <w:color w:val="000000"/>
          <w:kern w:val="0"/>
          <w:sz w:val="24"/>
          <w:lang w:eastAsia="zh-CN"/>
        </w:rPr>
        <w:t>响应</w:t>
      </w:r>
      <w:r>
        <w:rPr>
          <w:rFonts w:hint="eastAsia" w:ascii="宋体" w:hAnsi="宋体" w:cs="宋体"/>
          <w:color w:val="000000"/>
          <w:kern w:val="0"/>
          <w:sz w:val="24"/>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4.加盖年检章的营业执照副本复印件</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5.税务登记证复印件；（若三证合一，可不提供）</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6.质量认证证书复印件；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7.信用证明文件</w:t>
      </w:r>
      <w:r>
        <w:rPr>
          <w:rFonts w:hint="eastAsia" w:ascii="宋体" w:hAnsi="宋体" w:cs="宋体"/>
          <w:color w:val="000000"/>
          <w:kern w:val="0"/>
          <w:sz w:val="24"/>
          <w:lang w:eastAsia="zh-CN"/>
        </w:rPr>
        <w:t>（递交截止时间当天或前一天信用中国截图）</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eastAsia="zh-CN"/>
        </w:rPr>
        <w:t>详细</w:t>
      </w:r>
      <w:r>
        <w:rPr>
          <w:rFonts w:hint="eastAsia" w:ascii="宋体" w:hAnsi="宋体" w:cs="宋体"/>
          <w:color w:val="000000"/>
          <w:kern w:val="0"/>
          <w:sz w:val="24"/>
        </w:rPr>
        <w:t>企业简介（包括组织机构、</w:t>
      </w:r>
      <w:r>
        <w:rPr>
          <w:rFonts w:hint="eastAsia" w:ascii="宋体" w:hAnsi="宋体" w:cs="宋体"/>
          <w:color w:val="000000"/>
          <w:kern w:val="0"/>
          <w:sz w:val="24"/>
          <w:lang w:eastAsia="zh-CN"/>
        </w:rPr>
        <w:t>供应</w:t>
      </w:r>
      <w:r>
        <w:rPr>
          <w:rFonts w:hint="eastAsia" w:ascii="宋体" w:hAnsi="宋体" w:cs="宋体"/>
          <w:color w:val="000000"/>
          <w:kern w:val="0"/>
          <w:sz w:val="24"/>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.供应商保密协议（格式见附件</w:t>
      </w:r>
      <w:r>
        <w:rPr>
          <w:rFonts w:hint="eastAsia" w:ascii="宋体" w:hAnsi="宋体" w:cs="宋体"/>
          <w:color w:val="000000"/>
          <w:kern w:val="0"/>
          <w:sz w:val="24"/>
          <w:lang w:val="en-US" w:eastAsia="zh-CN"/>
        </w:rPr>
        <w:t>5</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（二）专项资格文件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1.与</w:t>
      </w:r>
      <w:r>
        <w:rPr>
          <w:rFonts w:hint="eastAsia" w:ascii="宋体" w:hAnsi="宋体" w:cs="宋体"/>
          <w:color w:val="000000"/>
          <w:kern w:val="0"/>
          <w:sz w:val="24"/>
          <w:lang w:eastAsia="zh-CN"/>
        </w:rPr>
        <w:t>要求</w:t>
      </w:r>
      <w:r>
        <w:rPr>
          <w:rFonts w:hint="eastAsia" w:ascii="宋体" w:hAnsi="宋体" w:cs="宋体"/>
          <w:color w:val="000000"/>
          <w:kern w:val="0"/>
          <w:sz w:val="24"/>
        </w:rPr>
        <w:t>设备/服务相同或类似的业绩汇总及用户单位（单位名称）、联系方式（格式见附件4）;</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3.资质证书复印件、生产许可证复印件;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4.试验报告;</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 鉴定证书复印件;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6.产品认证证书复印件。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7.根据第三章技术要求第1</w:t>
      </w:r>
      <w:bookmarkStart w:id="163" w:name="_GoBack"/>
      <w:bookmarkEnd w:id="163"/>
      <w:r>
        <w:rPr>
          <w:rFonts w:hint="eastAsia" w:ascii="宋体" w:hAnsi="宋体" w:cs="宋体"/>
          <w:color w:val="000000"/>
          <w:kern w:val="0"/>
          <w:sz w:val="24"/>
          <w:lang w:val="en-US" w:eastAsia="zh-CN"/>
        </w:rPr>
        <w:t>项技术规格形式附报价</w:t>
      </w:r>
    </w:p>
    <w:p>
      <w:pPr>
        <w:pStyle w:val="2"/>
        <w:rPr>
          <w:rFonts w:hint="default"/>
          <w:lang w:val="en-US" w:eastAsia="zh-CN"/>
        </w:rPr>
      </w:pPr>
      <w:r>
        <w:rPr>
          <w:rFonts w:hint="eastAsia" w:ascii="宋体" w:hAnsi="宋体" w:cs="宋体"/>
          <w:color w:val="000000"/>
          <w:kern w:val="0"/>
          <w:sz w:val="24"/>
          <w:lang w:val="en-US" w:eastAsia="zh-CN"/>
        </w:rPr>
        <w:t>8.针对本项目的生产周期</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val="en-US" w:eastAsia="zh-CN"/>
        </w:rPr>
      </w:pPr>
      <w:r>
        <w:rPr>
          <w:rFonts w:hint="eastAsia" w:ascii="宋体" w:hAnsi="宋体" w:cs="宋体"/>
          <w:color w:val="000000"/>
          <w:kern w:val="0"/>
          <w:sz w:val="24"/>
          <w:lang w:eastAsia="zh-CN"/>
        </w:rPr>
        <w:t>响应</w:t>
      </w:r>
      <w:r>
        <w:rPr>
          <w:rFonts w:hint="eastAsia" w:ascii="宋体" w:hAnsi="宋体" w:cs="宋体"/>
          <w:color w:val="000000"/>
          <w:kern w:val="0"/>
          <w:sz w:val="24"/>
        </w:rPr>
        <w:t>人的</w:t>
      </w:r>
      <w:r>
        <w:rPr>
          <w:rFonts w:hint="eastAsia" w:ascii="宋体" w:hAnsi="宋体" w:cs="宋体"/>
          <w:color w:val="000000"/>
          <w:kern w:val="0"/>
          <w:sz w:val="24"/>
          <w:lang w:eastAsia="zh-CN"/>
        </w:rPr>
        <w:t>响应</w:t>
      </w:r>
      <w:r>
        <w:rPr>
          <w:rFonts w:hint="eastAsia" w:ascii="宋体" w:hAnsi="宋体" w:cs="宋体"/>
          <w:color w:val="000000"/>
          <w:kern w:val="0"/>
          <w:sz w:val="24"/>
        </w:rPr>
        <w:t>文件须提供电子版文件（.pdf格式）一份；</w:t>
      </w:r>
      <w:r>
        <w:rPr>
          <w:rFonts w:hint="eastAsia" w:ascii="宋体" w:hAnsi="宋体" w:cs="宋体"/>
          <w:color w:val="000000"/>
          <w:kern w:val="0"/>
          <w:sz w:val="24"/>
          <w:lang w:eastAsia="zh-CN"/>
        </w:rPr>
        <w:t>多个文件打压缩包，发送至指定地址，</w:t>
      </w:r>
      <w:r>
        <w:rPr>
          <w:rFonts w:hint="eastAsia" w:ascii="宋体" w:hAnsi="宋体" w:cs="宋体"/>
          <w:b/>
          <w:bCs/>
          <w:color w:val="000000"/>
          <w:kern w:val="0"/>
          <w:sz w:val="24"/>
          <w:lang w:val="en-US" w:eastAsia="zh-CN"/>
        </w:rPr>
        <w:t>主题为单</w:t>
      </w:r>
      <w:r>
        <w:rPr>
          <w:rFonts w:hint="eastAsia" w:ascii="宋体" w:hAnsi="宋体" w:cs="宋体"/>
          <w:b/>
          <w:bCs/>
          <w:color w:val="000000"/>
          <w:kern w:val="0"/>
          <w:sz w:val="24"/>
          <w:lang w:eastAsia="zh-CN"/>
        </w:rPr>
        <w:t>位名称</w:t>
      </w:r>
      <w:r>
        <w:rPr>
          <w:rFonts w:hint="eastAsia" w:ascii="宋体" w:hAnsi="宋体" w:cs="宋体"/>
          <w:b/>
          <w:bCs/>
          <w:color w:val="000000"/>
          <w:kern w:val="0"/>
          <w:sz w:val="24"/>
          <w:lang w:val="en-US" w:eastAsia="zh-CN"/>
        </w:rPr>
        <w:t>+项目联系人+联系电话，正文写明参选的具体项目，</w:t>
      </w:r>
      <w:r>
        <w:rPr>
          <w:rFonts w:hint="eastAsia" w:ascii="宋体" w:hAnsi="宋体" w:cs="宋体"/>
          <w:b/>
          <w:bCs/>
          <w:color w:val="000000"/>
          <w:kern w:val="0"/>
          <w:sz w:val="24"/>
          <w:lang w:eastAsia="zh-CN"/>
        </w:rPr>
        <w:t>附件为压缩包，压缩包名称为单位名称</w:t>
      </w:r>
      <w:r>
        <w:rPr>
          <w:rFonts w:hint="eastAsia" w:ascii="宋体" w:hAnsi="宋体" w:cs="宋体"/>
          <w:b/>
          <w:bCs/>
          <w:color w:val="000000"/>
          <w:kern w:val="0"/>
          <w:sz w:val="24"/>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lang w:eastAsia="zh-CN"/>
        </w:rPr>
      </w:pPr>
      <w:r>
        <w:rPr>
          <w:rFonts w:hint="eastAsia" w:ascii="宋体" w:cs="宋体"/>
          <w:b/>
          <w:bCs/>
          <w:kern w:val="0"/>
          <w:sz w:val="24"/>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lang w:val="en-US" w:eastAsia="zh-CN"/>
        </w:rPr>
      </w:pPr>
      <w:r>
        <w:rPr>
          <w:rFonts w:hint="eastAsia" w:ascii="宋体" w:cs="宋体"/>
          <w:kern w:val="0"/>
          <w:sz w:val="24"/>
        </w:rPr>
        <w:t>1</w:t>
      </w:r>
      <w:r>
        <w:rPr>
          <w:rFonts w:hint="eastAsia" w:ascii="宋体" w:cs="宋体"/>
          <w:kern w:val="0"/>
          <w:sz w:val="24"/>
          <w:lang w:val="en-US" w:eastAsia="zh-CN"/>
        </w:rPr>
        <w:t>.</w:t>
      </w:r>
      <w:r>
        <w:rPr>
          <w:rFonts w:hint="eastAsia" w:ascii="宋体" w:cs="宋体"/>
          <w:kern w:val="0"/>
          <w:sz w:val="24"/>
          <w:lang w:eastAsia="zh-CN"/>
        </w:rPr>
        <w:t>入围结果在</w:t>
      </w:r>
      <w:r>
        <w:rPr>
          <w:rFonts w:hint="eastAsia" w:ascii="宋体" w:cs="宋体"/>
          <w:kern w:val="0"/>
          <w:sz w:val="24"/>
        </w:rPr>
        <w:t>石家庄市供热管理集团有限公司官网</w:t>
      </w:r>
      <w:r>
        <w:rPr>
          <w:rFonts w:hint="eastAsia"/>
        </w:rPr>
        <w:t>https://www.sjzsgrjt.com/</w:t>
      </w:r>
      <w:r>
        <w:rPr>
          <w:rFonts w:hint="eastAsia" w:ascii="宋体" w:cs="宋体"/>
          <w:kern w:val="0"/>
          <w:sz w:val="24"/>
        </w:rPr>
        <w:t>上发布。</w:t>
      </w:r>
      <w:r>
        <w:rPr>
          <w:rFonts w:hint="eastAsia" w:ascii="宋体" w:cs="宋体"/>
          <w:kern w:val="0"/>
          <w:sz w:val="24"/>
          <w:lang w:eastAsia="zh-CN"/>
        </w:rPr>
        <w:t>发布时间为响应文件递交截止后</w:t>
      </w:r>
      <w:r>
        <w:rPr>
          <w:rFonts w:hint="eastAsia" w:ascii="宋体" w:cs="宋体"/>
          <w:kern w:val="0"/>
          <w:sz w:val="24"/>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rPr>
      </w:pPr>
      <w:r>
        <w:rPr>
          <w:rFonts w:hint="eastAsia" w:ascii="宋体" w:cs="宋体"/>
          <w:kern w:val="0"/>
          <w:sz w:val="24"/>
          <w:lang w:val="en-US" w:eastAsia="zh-CN"/>
        </w:rPr>
        <w:t>2.</w:t>
      </w:r>
      <w:r>
        <w:rPr>
          <w:rFonts w:hint="eastAsia" w:ascii="宋体" w:cs="宋体"/>
          <w:kern w:val="0"/>
          <w:sz w:val="24"/>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493"/>
      <w:bookmarkStart w:id="27" w:name="_Toc12747"/>
      <w:bookmarkStart w:id="28" w:name="_Toc29818"/>
      <w:bookmarkStart w:id="29" w:name="_Toc20463"/>
      <w:bookmarkStart w:id="30" w:name="_Toc4460"/>
      <w:bookmarkStart w:id="31" w:name="_Toc24327"/>
      <w:bookmarkStart w:id="32" w:name="_Toc16541"/>
      <w:bookmarkStart w:id="33" w:name="_Toc26971"/>
      <w:bookmarkStart w:id="34" w:name="_Toc7450"/>
    </w:p>
    <w:p>
      <w:pPr>
        <w:pStyle w:val="13"/>
        <w:ind w:firstLine="462" w:firstLineChars="200"/>
        <w:rPr>
          <w:rFonts w:hint="eastAsia" w:ascii="宋体" w:hAnsi="Calibri" w:eastAsia="宋体" w:cs="宋体"/>
          <w:b/>
          <w:bCs/>
          <w:kern w:val="0"/>
          <w:sz w:val="24"/>
          <w:szCs w:val="24"/>
          <w:lang w:val="en-US" w:eastAsia="zh-CN" w:bidi="ar-SA"/>
        </w:rPr>
      </w:pPr>
      <w:r>
        <w:rPr>
          <w:rFonts w:hint="eastAsia" w:ascii="宋体" w:hAnsi="Calibri" w:eastAsia="宋体" w:cs="宋体"/>
          <w:b/>
          <w:bCs/>
          <w:kern w:val="0"/>
          <w:sz w:val="24"/>
          <w:szCs w:val="24"/>
          <w:lang w:val="en-US" w:eastAsia="zh-CN" w:bidi="ar-SA"/>
        </w:rPr>
        <w:t>四、其他</w:t>
      </w:r>
      <w:bookmarkEnd w:id="26"/>
      <w:bookmarkEnd w:id="27"/>
      <w:bookmarkEnd w:id="28"/>
      <w:bookmarkEnd w:id="29"/>
      <w:bookmarkEnd w:id="30"/>
      <w:bookmarkEnd w:id="31"/>
      <w:bookmarkEnd w:id="32"/>
      <w:bookmarkEnd w:id="33"/>
      <w:bookmarkEnd w:id="34"/>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发包人发布公告一天内，接受参选人提出的合理疑问，</w:t>
      </w:r>
      <w:r>
        <w:rPr>
          <w:rFonts w:hint="eastAsia" w:hAnsi="宋体" w:cs="宋体"/>
          <w:color w:val="000000"/>
          <w:kern w:val="0"/>
          <w:sz w:val="24"/>
          <w:szCs w:val="24"/>
          <w:lang w:val="en-US" w:eastAsia="zh-CN" w:bidi="ar-SA"/>
        </w:rPr>
        <w:t>如有必要修改</w:t>
      </w:r>
      <w:r>
        <w:rPr>
          <w:rFonts w:hint="eastAsia" w:ascii="宋体" w:hAnsi="宋体" w:eastAsia="宋体" w:cs="宋体"/>
          <w:color w:val="000000"/>
          <w:kern w:val="0"/>
          <w:sz w:val="24"/>
          <w:szCs w:val="24"/>
          <w:lang w:val="en-US" w:eastAsia="zh-CN" w:bidi="ar-SA"/>
        </w:rPr>
        <w:t>的</w:t>
      </w:r>
      <w:r>
        <w:rPr>
          <w:rFonts w:hint="eastAsia" w:hAnsi="宋体" w:cs="宋体"/>
          <w:color w:val="000000"/>
          <w:kern w:val="0"/>
          <w:sz w:val="24"/>
          <w:szCs w:val="24"/>
          <w:lang w:val="en-US" w:eastAsia="zh-CN" w:bidi="ar-SA"/>
        </w:rPr>
        <w:t>比选文件</w:t>
      </w:r>
      <w:r>
        <w:rPr>
          <w:rFonts w:hint="eastAsia" w:ascii="宋体" w:hAnsi="宋体" w:eastAsia="宋体" w:cs="宋体"/>
          <w:color w:val="000000"/>
          <w:kern w:val="0"/>
          <w:sz w:val="24"/>
          <w:szCs w:val="24"/>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lang w:val="en-US" w:eastAsia="zh-CN"/>
        </w:rPr>
      </w:pPr>
      <w:r>
        <w:rPr>
          <w:rFonts w:hint="eastAsia" w:ascii="宋体" w:hAnsi="宋体" w:cs="宋体"/>
          <w:color w:val="000000"/>
          <w:kern w:val="0"/>
          <w:sz w:val="24"/>
          <w:szCs w:val="24"/>
          <w:lang w:val="en-US" w:eastAsia="zh-CN" w:bidi="ar-SA"/>
        </w:rPr>
        <w:t>2.</w:t>
      </w:r>
      <w:r>
        <w:rPr>
          <w:rFonts w:hint="eastAsia" w:ascii="宋体" w:cs="宋体"/>
          <w:sz w:val="24"/>
        </w:rPr>
        <w:t>响应文件有效期</w:t>
      </w:r>
      <w:r>
        <w:rPr>
          <w:rFonts w:hint="eastAsia" w:ascii="宋体" w:cs="宋体"/>
          <w:sz w:val="24"/>
          <w:lang w:val="en-US" w:eastAsia="zh-CN"/>
        </w:rPr>
        <w:t>30天内。</w:t>
      </w:r>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lang w:val="en-US" w:eastAsia="zh-CN"/>
        </w:rPr>
      </w:pPr>
      <w:r>
        <w:rPr>
          <w:rFonts w:hint="eastAsia" w:ascii="宋体" w:cs="宋体"/>
          <w:kern w:val="0"/>
          <w:sz w:val="24"/>
          <w:szCs w:val="24"/>
          <w:lang w:val="en-US" w:eastAsia="zh-CN"/>
        </w:rPr>
        <w:t>3.参选人</w:t>
      </w:r>
      <w:r>
        <w:rPr>
          <w:rFonts w:hint="eastAsia" w:ascii="Calibri" w:hAnsi="宋体"/>
          <w:sz w:val="24"/>
          <w:szCs w:val="24"/>
          <w:lang w:eastAsia="zh-CN"/>
        </w:rPr>
        <w:t>准备和参加</w:t>
      </w:r>
      <w:r>
        <w:rPr>
          <w:rFonts w:hint="eastAsia" w:hAnsi="宋体"/>
          <w:sz w:val="24"/>
          <w:szCs w:val="24"/>
          <w:lang w:eastAsia="zh-CN"/>
        </w:rPr>
        <w:t>比选</w:t>
      </w:r>
      <w:r>
        <w:rPr>
          <w:rFonts w:hint="eastAsia" w:ascii="Calibri" w:hAnsi="宋体"/>
          <w:sz w:val="24"/>
          <w:szCs w:val="24"/>
          <w:lang w:eastAsia="zh-CN"/>
        </w:rPr>
        <w:t>活动发生的费用自理</w:t>
      </w:r>
      <w:r>
        <w:rPr>
          <w:rFonts w:hint="eastAsia" w:hAnsi="宋体"/>
          <w:sz w:val="24"/>
          <w:szCs w:val="24"/>
          <w:lang w:eastAsia="zh-CN"/>
        </w:rPr>
        <w:t>。</w:t>
      </w:r>
    </w:p>
    <w:p>
      <w:pPr>
        <w:pStyle w:val="13"/>
        <w:rPr>
          <w:rFonts w:hint="default"/>
          <w:lang w:val="en-US"/>
        </w:rPr>
      </w:pPr>
    </w:p>
    <w:p>
      <w:pPr>
        <w:autoSpaceDE w:val="0"/>
        <w:autoSpaceDN w:val="0"/>
        <w:adjustRightInd w:val="0"/>
        <w:spacing w:line="360" w:lineRule="auto"/>
        <w:rPr>
          <w:rFonts w:ascii="宋体" w:cs="宋体"/>
          <w:kern w:val="0"/>
          <w:sz w:val="24"/>
        </w:rPr>
      </w:pPr>
    </w:p>
    <w:p>
      <w:pPr>
        <w:rPr>
          <w:rFonts w:ascii="宋体" w:cs="宋体"/>
          <w:kern w:val="0"/>
          <w:sz w:val="24"/>
          <w:lang w:val="zh-CN"/>
        </w:rPr>
      </w:pPr>
      <w:r>
        <w:rPr>
          <w:rFonts w:hint="eastAsia" w:ascii="宋体" w:cs="宋体"/>
          <w:kern w:val="0"/>
          <w:sz w:val="24"/>
          <w:lang w:val="zh-CN"/>
        </w:rPr>
        <w:br w:type="page"/>
      </w:r>
    </w:p>
    <w:p>
      <w:pPr>
        <w:widowControl/>
        <w:spacing w:line="360" w:lineRule="auto"/>
        <w:jc w:val="center"/>
        <w:rPr>
          <w:rFonts w:ascii="宋体" w:cs="宋体"/>
          <w:kern w:val="0"/>
          <w:sz w:val="32"/>
          <w:szCs w:val="32"/>
        </w:rPr>
      </w:pPr>
      <w:r>
        <w:rPr>
          <w:rFonts w:hint="eastAsia" w:ascii="宋体" w:cs="宋体"/>
          <w:kern w:val="0"/>
          <w:sz w:val="32"/>
          <w:szCs w:val="32"/>
        </w:rPr>
        <w:t>响应文件封面                                    正本</w:t>
      </w:r>
    </w:p>
    <w:p>
      <w:pPr>
        <w:widowControl/>
        <w:spacing w:line="360" w:lineRule="auto"/>
        <w:jc w:val="center"/>
        <w:rPr>
          <w:rFonts w:ascii="宋体"/>
          <w:b/>
          <w:bCs/>
          <w:sz w:val="40"/>
          <w:szCs w:val="40"/>
        </w:rPr>
      </w:pPr>
    </w:p>
    <w:p>
      <w:pPr>
        <w:pStyle w:val="13"/>
        <w:spacing w:after="0" w:line="360" w:lineRule="auto"/>
        <w:jc w:val="center"/>
        <w:rPr>
          <w:rFonts w:ascii="宋体"/>
          <w:b/>
          <w:bCs/>
          <w:sz w:val="40"/>
          <w:szCs w:val="40"/>
        </w:rPr>
      </w:pPr>
    </w:p>
    <w:p>
      <w:pPr>
        <w:widowControl/>
        <w:spacing w:line="360" w:lineRule="auto"/>
        <w:jc w:val="center"/>
        <w:rPr>
          <w:rFonts w:ascii="宋体"/>
          <w:b/>
          <w:bCs/>
          <w:sz w:val="40"/>
          <w:szCs w:val="40"/>
        </w:rPr>
      </w:pPr>
      <w:r>
        <w:rPr>
          <w:rFonts w:hint="eastAsia" w:ascii="宋体"/>
          <w:b/>
          <w:bCs/>
          <w:sz w:val="40"/>
          <w:szCs w:val="40"/>
        </w:rPr>
        <w:t>（项目名称）</w:t>
      </w:r>
    </w:p>
    <w:p>
      <w:pPr>
        <w:widowControl/>
        <w:spacing w:line="360" w:lineRule="auto"/>
        <w:ind w:firstLine="3360"/>
        <w:rPr>
          <w:rFonts w:ascii="宋体" w:cs="宋体"/>
          <w:kern w:val="0"/>
          <w:sz w:val="28"/>
          <w:szCs w:val="28"/>
        </w:rPr>
      </w:pPr>
    </w:p>
    <w:p>
      <w:pPr>
        <w:pStyle w:val="2"/>
        <w:ind w:firstLine="608"/>
        <w:rPr>
          <w:rFonts w:ascii="宋体" w:cs="宋体"/>
          <w:sz w:val="28"/>
          <w:szCs w:val="28"/>
        </w:rPr>
      </w:pPr>
    </w:p>
    <w:p>
      <w:pPr>
        <w:rPr>
          <w:rFonts w:ascii="宋体" w:cs="宋体"/>
          <w:kern w:val="0"/>
          <w:sz w:val="28"/>
          <w:szCs w:val="28"/>
        </w:rPr>
      </w:pPr>
    </w:p>
    <w:p>
      <w:pPr>
        <w:pStyle w:val="2"/>
        <w:ind w:firstLine="528"/>
      </w:pPr>
    </w:p>
    <w:p>
      <w:pPr>
        <w:pStyle w:val="2"/>
        <w:ind w:firstLine="375" w:firstLineChars="100"/>
        <w:rPr>
          <w:rFonts w:ascii="黑体" w:hAnsi="黑体" w:eastAsia="黑体" w:cs="宋体"/>
          <w:snapToGrid w:val="0"/>
          <w:sz w:val="36"/>
          <w:szCs w:val="36"/>
        </w:rPr>
      </w:pPr>
    </w:p>
    <w:p>
      <w:pPr>
        <w:pStyle w:val="2"/>
        <w:tabs>
          <w:tab w:val="left" w:pos="1354"/>
          <w:tab w:val="clear" w:pos="8280"/>
        </w:tabs>
        <w:ind w:firstLine="1125" w:firstLineChars="300"/>
        <w:rPr>
          <w:sz w:val="44"/>
          <w:szCs w:val="44"/>
        </w:rPr>
      </w:pPr>
      <w:r>
        <w:rPr>
          <w:rFonts w:hint="eastAsia" w:ascii="宋体" w:cs="宋体"/>
          <w:b/>
          <w:bCs/>
          <w:sz w:val="36"/>
          <w:szCs w:val="36"/>
        </w:rPr>
        <w:t xml:space="preserve">           响应文件</w:t>
      </w:r>
    </w:p>
    <w:p>
      <w:pPr>
        <w:pStyle w:val="2"/>
        <w:ind w:firstLine="2345" w:firstLineChars="700"/>
        <w:rPr>
          <w:rFonts w:ascii="宋体" w:cs="宋体"/>
          <w:sz w:val="32"/>
          <w:szCs w:val="32"/>
        </w:rPr>
      </w:pPr>
    </w:p>
    <w:p>
      <w:pPr>
        <w:pStyle w:val="2"/>
        <w:ind w:firstLine="3150" w:firstLineChars="1000"/>
        <w:rPr>
          <w:rFonts w:ascii="宋体" w:cs="宋体"/>
          <w:b/>
          <w:bCs/>
          <w:sz w:val="30"/>
          <w:szCs w:val="30"/>
        </w:rPr>
      </w:pPr>
    </w:p>
    <w:p>
      <w:pPr>
        <w:pStyle w:val="2"/>
        <w:ind w:firstLine="688"/>
        <w:rPr>
          <w:rFonts w:ascii="宋体" w:cs="宋体"/>
          <w:sz w:val="32"/>
          <w:szCs w:val="32"/>
        </w:rPr>
      </w:pPr>
    </w:p>
    <w:p>
      <w:pPr>
        <w:pStyle w:val="2"/>
        <w:ind w:firstLine="688"/>
        <w:rPr>
          <w:rFonts w:ascii="宋体" w:cs="宋体"/>
          <w:sz w:val="32"/>
          <w:szCs w:val="32"/>
        </w:rPr>
      </w:pPr>
    </w:p>
    <w:p>
      <w:pPr>
        <w:widowControl/>
        <w:spacing w:line="720" w:lineRule="auto"/>
        <w:ind w:firstLine="311" w:firstLineChars="100"/>
        <w:rPr>
          <w:rFonts w:ascii="宋体" w:cs="宋体"/>
          <w:kern w:val="0"/>
          <w:sz w:val="32"/>
          <w:szCs w:val="32"/>
          <w:u w:val="single"/>
        </w:rPr>
      </w:pPr>
      <w:r>
        <w:rPr>
          <w:rFonts w:hint="eastAsia" w:ascii="宋体" w:cs="宋体"/>
          <w:kern w:val="0"/>
          <w:sz w:val="32"/>
          <w:szCs w:val="32"/>
          <w:lang w:eastAsia="zh-CN"/>
        </w:rPr>
        <w:t>供应商</w:t>
      </w:r>
      <w:r>
        <w:rPr>
          <w:rFonts w:hint="eastAsia" w:ascii="宋体" w:cs="宋体"/>
          <w:kern w:val="0"/>
          <w:sz w:val="32"/>
          <w:szCs w:val="32"/>
        </w:rPr>
        <w:t>：（盖单位章）</w:t>
      </w:r>
    </w:p>
    <w:p>
      <w:pPr>
        <w:widowControl/>
        <w:spacing w:line="720" w:lineRule="auto"/>
        <w:ind w:firstLine="311" w:firstLineChars="100"/>
        <w:rPr>
          <w:rFonts w:ascii="宋体" w:cs="宋体"/>
          <w:kern w:val="0"/>
          <w:sz w:val="32"/>
          <w:szCs w:val="32"/>
        </w:rPr>
      </w:pPr>
      <w:r>
        <w:rPr>
          <w:rFonts w:hint="eastAsia" w:ascii="宋体" w:cs="宋体"/>
          <w:kern w:val="0"/>
          <w:sz w:val="32"/>
          <w:szCs w:val="32"/>
        </w:rPr>
        <w:t>法定代表人或其委托代理人：（印鉴或签字）</w:t>
      </w:r>
    </w:p>
    <w:p>
      <w:pPr>
        <w:pStyle w:val="2"/>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jc w:val="center"/>
        <w:rPr>
          <w:rFonts w:ascii="宋体" w:cs="宋体"/>
          <w:b/>
          <w:bCs/>
          <w:kern w:val="0"/>
          <w:sz w:val="36"/>
          <w:szCs w:val="36"/>
        </w:rPr>
      </w:pPr>
      <w:bookmarkStart w:id="35" w:name="_Toc24025"/>
      <w:bookmarkStart w:id="36" w:name="_Toc2536"/>
      <w:bookmarkStart w:id="37" w:name="_Toc29658"/>
      <w:bookmarkStart w:id="38" w:name="_Toc25572"/>
      <w:bookmarkStart w:id="39" w:name="_Toc26388"/>
      <w:bookmarkStart w:id="40" w:name="_Toc25160"/>
      <w:bookmarkStart w:id="41" w:name="_Toc8581"/>
      <w:bookmarkStart w:id="42" w:name="_Toc18593"/>
    </w:p>
    <w:p>
      <w:pPr>
        <w:jc w:val="center"/>
        <w:rPr>
          <w:rFonts w:ascii="宋体" w:cs="宋体"/>
          <w:b/>
          <w:bCs/>
          <w:kern w:val="0"/>
          <w:sz w:val="36"/>
          <w:szCs w:val="36"/>
        </w:rPr>
      </w:pPr>
    </w:p>
    <w:p>
      <w:pPr>
        <w:pStyle w:val="35"/>
      </w:pPr>
    </w:p>
    <w:bookmarkEnd w:id="35"/>
    <w:bookmarkEnd w:id="36"/>
    <w:bookmarkEnd w:id="37"/>
    <w:bookmarkEnd w:id="38"/>
    <w:bookmarkEnd w:id="39"/>
    <w:bookmarkEnd w:id="40"/>
    <w:bookmarkEnd w:id="41"/>
    <w:p>
      <w:pPr>
        <w:pStyle w:val="4"/>
        <w:keepNext/>
        <w:widowControl/>
        <w:autoSpaceDE w:val="0"/>
        <w:autoSpaceDN w:val="0"/>
        <w:adjustRightInd w:val="0"/>
        <w:snapToGrid w:val="0"/>
        <w:spacing w:line="360" w:lineRule="auto"/>
        <w:textAlignment w:val="baseline"/>
        <w:rPr>
          <w:b/>
          <w:kern w:val="0"/>
          <w:sz w:val="28"/>
          <w:szCs w:val="28"/>
        </w:rPr>
      </w:pPr>
      <w:bookmarkStart w:id="43" w:name="_Toc10795"/>
      <w:bookmarkStart w:id="44" w:name="_Toc2122"/>
      <w:bookmarkStart w:id="45" w:name="_Toc7407"/>
      <w:bookmarkStart w:id="46" w:name="_Toc13905"/>
      <w:bookmarkStart w:id="47" w:name="_Toc1264"/>
      <w:bookmarkStart w:id="48" w:name="_Toc8214"/>
      <w:bookmarkStart w:id="49" w:name="_Toc21194"/>
      <w:bookmarkStart w:id="50" w:name="_Toc6235"/>
      <w:bookmarkStart w:id="51" w:name="_Toc5441"/>
      <w:bookmarkStart w:id="52" w:name="_Toc7287"/>
      <w:bookmarkStart w:id="53" w:name="_Toc21192"/>
      <w:bookmarkStart w:id="54" w:name="_Toc28891"/>
      <w:bookmarkStart w:id="55" w:name="_Toc31185"/>
      <w:bookmarkStart w:id="56" w:name="_Toc25289"/>
      <w:bookmarkStart w:id="57" w:name="_Toc17910"/>
      <w:r>
        <w:rPr>
          <w:b/>
          <w:kern w:val="0"/>
          <w:sz w:val="28"/>
          <w:szCs w:val="28"/>
        </w:rPr>
        <w:t>附件1：</w:t>
      </w:r>
      <w:r>
        <w:rPr>
          <w:rFonts w:hint="eastAsia"/>
          <w:b/>
          <w:kern w:val="0"/>
          <w:sz w:val="28"/>
          <w:szCs w:val="28"/>
          <w:lang w:eastAsia="zh-CN"/>
        </w:rPr>
        <w:t>响应</w:t>
      </w:r>
      <w:r>
        <w:rPr>
          <w:b/>
          <w:kern w:val="0"/>
          <w:sz w:val="28"/>
          <w:szCs w:val="28"/>
        </w:rPr>
        <w:t>函（PDF格式文件）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                               年    月    日</w:t>
      </w:r>
    </w:p>
    <w:p>
      <w:pPr>
        <w:pStyle w:val="4"/>
        <w:keepNext/>
        <w:widowControl/>
        <w:autoSpaceDE w:val="0"/>
        <w:autoSpaceDN w:val="0"/>
        <w:adjustRightInd w:val="0"/>
        <w:snapToGrid w:val="0"/>
        <w:spacing w:line="360" w:lineRule="auto"/>
        <w:textAlignment w:val="baseline"/>
        <w:rPr>
          <w:b/>
          <w:kern w:val="0"/>
          <w:sz w:val="28"/>
          <w:szCs w:val="28"/>
        </w:rPr>
      </w:pPr>
      <w:bookmarkStart w:id="58" w:name="_Toc11513"/>
      <w:bookmarkStart w:id="59" w:name="_Toc27069"/>
      <w:bookmarkStart w:id="60" w:name="_Toc18936"/>
      <w:bookmarkStart w:id="61" w:name="_Toc31352"/>
      <w:bookmarkStart w:id="62" w:name="_Toc27672"/>
      <w:bookmarkStart w:id="63" w:name="_Toc24540"/>
      <w:bookmarkStart w:id="64" w:name="_Toc21922"/>
      <w:bookmarkStart w:id="65" w:name="_Toc18578"/>
      <w:bookmarkStart w:id="66" w:name="_Toc28859"/>
      <w:bookmarkStart w:id="67" w:name="_Toc12745"/>
      <w:bookmarkStart w:id="68" w:name="_Toc27645"/>
      <w:bookmarkStart w:id="69" w:name="_Toc8562"/>
      <w:bookmarkStart w:id="70" w:name="_Toc2998"/>
      <w:bookmarkStart w:id="71" w:name="_Toc4019"/>
      <w:bookmarkStart w:id="72" w:name="_Toc12924"/>
    </w:p>
    <w:p>
      <w:pPr>
        <w:pStyle w:val="4"/>
        <w:keepNext/>
        <w:widowControl/>
        <w:autoSpaceDE w:val="0"/>
        <w:autoSpaceDN w:val="0"/>
        <w:adjustRightInd w:val="0"/>
        <w:snapToGrid w:val="0"/>
        <w:spacing w:line="360" w:lineRule="auto"/>
        <w:textAlignment w:val="baseline"/>
        <w:rPr>
          <w:b/>
          <w:kern w:val="0"/>
          <w:sz w:val="28"/>
          <w:szCs w:val="28"/>
        </w:rPr>
      </w:pPr>
      <w:r>
        <w:rPr>
          <w:b/>
          <w:kern w:val="0"/>
          <w:sz w:val="28"/>
          <w:szCs w:val="28"/>
        </w:rPr>
        <w:t>附件</w:t>
      </w:r>
      <w:bookmarkStart w:id="73" w:name="_Toc198862465"/>
      <w:bookmarkStart w:id="74" w:name="_Toc49162371"/>
      <w:r>
        <w:rPr>
          <w:b/>
          <w:kern w:val="0"/>
          <w:sz w:val="28"/>
          <w:szCs w:val="28"/>
        </w:rPr>
        <w:t>2 ：授权书格式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b/>
          <w:kern w:val="0"/>
          <w:sz w:val="28"/>
          <w:szCs w:val="28"/>
        </w:rPr>
        <w:t xml:space="preserve"> </w:t>
      </w:r>
    </w:p>
    <w:bookmarkEnd w:id="73"/>
    <w:bookmarkEnd w:id="74"/>
    <w:p>
      <w:pPr>
        <w:pStyle w:val="5"/>
        <w:ind w:right="-293" w:rightChars="-146"/>
        <w:jc w:val="center"/>
        <w:rPr>
          <w:rFonts w:ascii="宋体"/>
          <w:sz w:val="24"/>
          <w:szCs w:val="24"/>
          <w:lang w:val="zh-CN"/>
        </w:rPr>
      </w:pPr>
      <w:bookmarkStart w:id="75" w:name="_Toc16317"/>
      <w:bookmarkStart w:id="76" w:name="_Toc12389"/>
      <w:bookmarkStart w:id="77" w:name="_Toc13257"/>
      <w:bookmarkStart w:id="78" w:name="_Toc7142"/>
      <w:bookmarkStart w:id="79" w:name="_Toc18230"/>
      <w:bookmarkStart w:id="80" w:name="_Toc2962"/>
      <w:bookmarkStart w:id="81" w:name="_Toc396236151"/>
      <w:bookmarkStart w:id="82" w:name="_Toc396236625"/>
      <w:bookmarkStart w:id="83" w:name="_Toc360630804"/>
      <w:bookmarkStart w:id="84" w:name="_Toc27295"/>
      <w:r>
        <w:rPr>
          <w:rFonts w:hint="eastAsia" w:ascii="宋体"/>
          <w:sz w:val="24"/>
          <w:szCs w:val="24"/>
          <w:lang w:eastAsia="zh-CN"/>
        </w:rPr>
        <w:t>二</w:t>
      </w:r>
      <w:r>
        <w:rPr>
          <w:rFonts w:hint="eastAsia" w:ascii="宋体"/>
          <w:sz w:val="24"/>
          <w:szCs w:val="24"/>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（申请人名称）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 xml:space="preserve">（项目名称）  </w:t>
      </w:r>
      <w:r>
        <w:rPr>
          <w:rFonts w:hint="eastAsia"/>
          <w:sz w:val="24"/>
          <w:szCs w:val="24"/>
        </w:rPr>
        <w:t>的比选活动，以我方的名义签署、澄清、说明、补正、递交、响应文件和处理有关事宜，其法律后果由我方承担。</w:t>
      </w:r>
    </w:p>
    <w:p>
      <w:pPr>
        <w:spacing w:line="360" w:lineRule="auto"/>
        <w:ind w:right="-293" w:rightChars="-146" w:firstLine="462" w:firstLineChars="200"/>
        <w:rPr>
          <w:sz w:val="24"/>
          <w:szCs w:val="24"/>
        </w:rPr>
      </w:pPr>
      <w:r>
        <w:rPr>
          <w:rFonts w:hint="eastAsia"/>
          <w:sz w:val="24"/>
          <w:szCs w:val="24"/>
        </w:rPr>
        <w:t>委托期限：自授权书签订之日起至</w:t>
      </w:r>
      <w:r>
        <w:rPr>
          <w:rFonts w:hint="eastAsia"/>
          <w:sz w:val="24"/>
          <w:szCs w:val="24"/>
          <w:lang w:eastAsia="zh-CN"/>
        </w:rPr>
        <w:t>比选</w:t>
      </w:r>
      <w:r>
        <w:rPr>
          <w:rFonts w:hint="eastAsia"/>
          <w:sz w:val="24"/>
          <w:szCs w:val="24"/>
        </w:rPr>
        <w:t>有效期截止之日止。</w:t>
      </w:r>
    </w:p>
    <w:p>
      <w:pPr>
        <w:spacing w:line="360" w:lineRule="auto"/>
        <w:ind w:right="-293" w:rightChars="-146" w:firstLine="462" w:firstLineChars="200"/>
        <w:rPr>
          <w:sz w:val="24"/>
          <w:szCs w:val="24"/>
        </w:rPr>
      </w:pPr>
      <w:r>
        <w:rPr>
          <w:rFonts w:hint="eastAsia"/>
          <w:sz w:val="24"/>
          <w:szCs w:val="24"/>
        </w:rPr>
        <w:t>委托代理人无转委托权。</w:t>
      </w:r>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附：法定代表人身份证复印件及委托代理人身份证复印件</w:t>
      </w:r>
    </w:p>
    <w:p>
      <w:pPr>
        <w:topLinePunct/>
        <w:spacing w:line="540" w:lineRule="exact"/>
        <w:ind w:right="-293" w:rightChars="-146" w:firstLine="610"/>
        <w:rPr>
          <w:sz w:val="24"/>
          <w:szCs w:val="24"/>
        </w:rPr>
      </w:pPr>
    </w:p>
    <w:p>
      <w:pPr>
        <w:topLinePunct/>
        <w:spacing w:line="540" w:lineRule="exact"/>
        <w:ind w:right="-293" w:rightChars="-146" w:firstLine="610"/>
        <w:rPr>
          <w:sz w:val="24"/>
          <w:szCs w:val="24"/>
        </w:rPr>
      </w:pPr>
    </w:p>
    <w:p>
      <w:pPr>
        <w:topLinePunct/>
        <w:spacing w:line="540" w:lineRule="exact"/>
        <w:ind w:right="-293" w:rightChars="-146" w:firstLine="2541" w:firstLineChars="1100"/>
        <w:rPr>
          <w:sz w:val="24"/>
          <w:szCs w:val="24"/>
        </w:rPr>
      </w:pPr>
      <w:r>
        <w:rPr>
          <w:rFonts w:hint="eastAsia"/>
          <w:sz w:val="24"/>
          <w:szCs w:val="24"/>
          <w:lang w:eastAsia="zh-CN"/>
        </w:rPr>
        <w:t>供应商</w:t>
      </w:r>
      <w:r>
        <w:rPr>
          <w:rFonts w:hint="eastAsia"/>
          <w:sz w:val="24"/>
          <w:szCs w:val="24"/>
        </w:rPr>
        <w:t>：（盖单位章）</w:t>
      </w:r>
    </w:p>
    <w:p>
      <w:pPr>
        <w:topLinePunct/>
        <w:spacing w:line="540" w:lineRule="exact"/>
        <w:ind w:right="-293" w:rightChars="-146" w:firstLine="2541" w:firstLineChars="1100"/>
        <w:rPr>
          <w:sz w:val="24"/>
          <w:szCs w:val="24"/>
        </w:rPr>
      </w:pPr>
      <w:r>
        <w:rPr>
          <w:rFonts w:hint="eastAsia"/>
          <w:sz w:val="24"/>
          <w:szCs w:val="24"/>
        </w:rPr>
        <w:t>法定代表人</w:t>
      </w:r>
      <w:r>
        <w:rPr>
          <w:rFonts w:hint="eastAsia"/>
          <w:sz w:val="24"/>
          <w:szCs w:val="24"/>
          <w:lang w:eastAsia="zh-CN"/>
        </w:rPr>
        <w:t>：</w:t>
      </w:r>
      <w:r>
        <w:rPr>
          <w:rFonts w:hint="eastAsia"/>
          <w:sz w:val="24"/>
          <w:szCs w:val="24"/>
        </w:rPr>
        <w:t>（签字或印鉴）</w:t>
      </w:r>
    </w:p>
    <w:p>
      <w:pPr>
        <w:topLinePunct/>
        <w:spacing w:line="540" w:lineRule="exact"/>
        <w:ind w:right="-293" w:rightChars="-146" w:firstLine="2541" w:firstLineChars="1100"/>
        <w:rPr>
          <w:sz w:val="24"/>
          <w:szCs w:val="24"/>
          <w:u w:val="single"/>
        </w:rPr>
      </w:pPr>
      <w:r>
        <w:rPr>
          <w:rFonts w:hint="eastAsia"/>
          <w:sz w:val="24"/>
          <w:szCs w:val="24"/>
        </w:rPr>
        <w:t>身份证号码：</w:t>
      </w:r>
    </w:p>
    <w:p>
      <w:pPr>
        <w:topLinePunct/>
        <w:spacing w:line="540" w:lineRule="exact"/>
        <w:ind w:right="-293" w:rightChars="-146" w:firstLine="2541" w:firstLineChars="1100"/>
        <w:rPr>
          <w:sz w:val="24"/>
          <w:szCs w:val="24"/>
        </w:rPr>
      </w:pPr>
      <w:r>
        <w:rPr>
          <w:rFonts w:hint="eastAsia"/>
          <w:sz w:val="24"/>
          <w:szCs w:val="24"/>
        </w:rPr>
        <w:t>委托代理人：（签字）</w:t>
      </w:r>
    </w:p>
    <w:p>
      <w:pPr>
        <w:topLinePunct/>
        <w:spacing w:line="540" w:lineRule="exact"/>
        <w:ind w:right="-293" w:rightChars="-146" w:firstLine="2541" w:firstLineChars="1100"/>
        <w:rPr>
          <w:sz w:val="24"/>
          <w:szCs w:val="24"/>
        </w:rPr>
      </w:pPr>
      <w:r>
        <w:rPr>
          <w:rFonts w:hint="eastAsia"/>
          <w:sz w:val="24"/>
          <w:szCs w:val="24"/>
        </w:rPr>
        <w:t>身份证号码：</w:t>
      </w:r>
    </w:p>
    <w:p>
      <w:pPr>
        <w:topLinePunct/>
        <w:spacing w:line="540" w:lineRule="exact"/>
        <w:ind w:left="399" w:leftChars="199" w:right="-293" w:rightChars="-146" w:firstLine="3465" w:firstLineChars="1500"/>
        <w:jc w:val="right"/>
        <w:rPr>
          <w:sz w:val="24"/>
          <w:szCs w:val="24"/>
        </w:rPr>
      </w:pPr>
    </w:p>
    <w:p>
      <w:pPr>
        <w:topLinePunct/>
        <w:spacing w:line="540" w:lineRule="exact"/>
        <w:ind w:left="399" w:leftChars="199" w:right="-293" w:rightChars="-146" w:firstLine="3465" w:firstLineChars="1500"/>
        <w:jc w:val="right"/>
        <w:rPr>
          <w:sz w:val="24"/>
          <w:szCs w:val="24"/>
        </w:rPr>
      </w:pPr>
      <w:r>
        <w:rPr>
          <w:rFonts w:hint="eastAsia"/>
          <w:sz w:val="24"/>
          <w:szCs w:val="24"/>
        </w:rPr>
        <w:t>年    月    日</w:t>
      </w:r>
    </w:p>
    <w:p>
      <w:pPr>
        <w:spacing w:line="360" w:lineRule="auto"/>
        <w:ind w:right="-293" w:rightChars="-146"/>
        <w:rPr>
          <w:sz w:val="24"/>
          <w:szCs w:val="24"/>
          <w:u w:val="single"/>
        </w:rPr>
      </w:pPr>
    </w:p>
    <w:p>
      <w:pPr>
        <w:spacing w:line="300" w:lineRule="auto"/>
        <w:ind w:right="-293" w:rightChars="-146"/>
        <w:rPr>
          <w:sz w:val="24"/>
          <w:szCs w:val="24"/>
        </w:rPr>
      </w:pPr>
      <w:r>
        <w:rPr>
          <w:rFonts w:hint="eastAsia"/>
          <w:sz w:val="24"/>
          <w:szCs w:val="24"/>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rPr>
      </w:pPr>
      <w:r>
        <w:rPr>
          <w:rFonts w:hint="eastAsia"/>
          <w:sz w:val="24"/>
          <w:szCs w:val="24"/>
        </w:rPr>
        <w:t>②委托代理人限为一人。</w:t>
      </w:r>
    </w:p>
    <w:p>
      <w:pPr>
        <w:pStyle w:val="4"/>
        <w:keepNext/>
        <w:widowControl/>
        <w:autoSpaceDE w:val="0"/>
        <w:autoSpaceDN w:val="0"/>
        <w:adjustRightInd w:val="0"/>
        <w:snapToGrid w:val="0"/>
        <w:spacing w:line="360" w:lineRule="auto"/>
        <w:textAlignment w:val="baseline"/>
        <w:rPr>
          <w:b/>
          <w:kern w:val="0"/>
          <w:sz w:val="28"/>
          <w:szCs w:val="28"/>
        </w:rPr>
      </w:pPr>
      <w:bookmarkStart w:id="85" w:name="_Toc10367"/>
      <w:bookmarkStart w:id="86" w:name="_Toc16316"/>
      <w:bookmarkStart w:id="87" w:name="_Toc8164"/>
      <w:bookmarkStart w:id="88" w:name="_Toc16972"/>
      <w:bookmarkStart w:id="89" w:name="_Toc26549"/>
      <w:bookmarkStart w:id="90" w:name="_Toc22278"/>
      <w:bookmarkStart w:id="91" w:name="_Toc27913"/>
      <w:bookmarkStart w:id="92" w:name="_Toc15437"/>
      <w:bookmarkStart w:id="93" w:name="_Toc13184"/>
      <w:bookmarkStart w:id="94" w:name="_Toc15030"/>
      <w:bookmarkStart w:id="95" w:name="_Toc31358"/>
      <w:bookmarkStart w:id="96" w:name="_Toc13241"/>
      <w:bookmarkStart w:id="97" w:name="_Toc9265"/>
      <w:bookmarkStart w:id="98" w:name="_Toc20277"/>
      <w:bookmarkStart w:id="99" w:name="_Toc8425"/>
      <w:r>
        <w:rPr>
          <w:b/>
          <w:kern w:val="0"/>
          <w:sz w:val="28"/>
          <w:szCs w:val="28"/>
        </w:rPr>
        <w:t>附件3：</w:t>
      </w:r>
      <w:r>
        <w:rPr>
          <w:rFonts w:hint="eastAsia"/>
          <w:b/>
          <w:kern w:val="0"/>
          <w:sz w:val="28"/>
          <w:szCs w:val="28"/>
          <w:lang w:eastAsia="zh-CN"/>
        </w:rPr>
        <w:t>响应</w:t>
      </w:r>
      <w:r>
        <w:rPr>
          <w:b/>
          <w:kern w:val="0"/>
          <w:sz w:val="28"/>
          <w:szCs w:val="28"/>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tbl>
      <w:tblPr>
        <w:tblStyle w:val="27"/>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rPr>
            </w:pPr>
            <w:r>
              <w:rPr>
                <w:rFonts w:hint="eastAsia" w:ascii="宋体" w:hAnsi="宋体" w:eastAsia="宋体" w:cs="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联系人</w:t>
            </w:r>
          </w:p>
        </w:tc>
        <w:tc>
          <w:tcPr>
            <w:tcW w:w="147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固定电话</w:t>
            </w:r>
          </w:p>
        </w:tc>
        <w:tc>
          <w:tcPr>
            <w:tcW w:w="1559"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移动电话</w:t>
            </w: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与本项目有关产品介绍</w:t>
            </w:r>
            <w:r>
              <w:rPr>
                <w:rFonts w:hint="eastAsia" w:ascii="宋体" w:hAnsi="宋体" w:eastAsia="宋体" w:cs="宋体"/>
                <w:szCs w:val="21"/>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（可填多项）</w:t>
            </w: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企业简介</w:t>
            </w:r>
          </w:p>
          <w:p>
            <w:pPr>
              <w:adjustRightInd w:val="0"/>
              <w:snapToGrid w:val="0"/>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bl>
    <w:p>
      <w:pPr>
        <w:spacing w:line="360" w:lineRule="auto"/>
        <w:rPr>
          <w:rFonts w:hint="eastAsia" w:ascii="宋体" w:hAnsi="宋体" w:eastAsia="宋体" w:cs="宋体"/>
          <w:sz w:val="18"/>
          <w:szCs w:val="18"/>
        </w:rPr>
      </w:pPr>
      <w:r>
        <w:rPr>
          <w:rFonts w:hint="eastAsia" w:ascii="宋体" w:hAnsi="宋体" w:eastAsia="宋体" w:cs="宋体"/>
          <w:sz w:val="18"/>
          <w:szCs w:val="18"/>
        </w:rPr>
        <w:t>注：请供应商应严格按此表格式样填写，以便资料统计。</w:t>
      </w:r>
    </w:p>
    <w:p>
      <w:pPr>
        <w:spacing w:line="360" w:lineRule="auto"/>
        <w:rPr>
          <w:rFonts w:ascii="仿宋" w:hAnsi="仿宋" w:eastAsia="仿宋"/>
          <w:sz w:val="18"/>
          <w:szCs w:val="18"/>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4"/>
        <w:keepNext/>
        <w:widowControl/>
        <w:autoSpaceDE w:val="0"/>
        <w:autoSpaceDN w:val="0"/>
        <w:adjustRightInd w:val="0"/>
        <w:snapToGrid w:val="0"/>
        <w:spacing w:line="360" w:lineRule="auto"/>
        <w:textAlignment w:val="baseline"/>
        <w:rPr>
          <w:b/>
          <w:kern w:val="0"/>
          <w:sz w:val="28"/>
          <w:szCs w:val="28"/>
        </w:rPr>
      </w:pPr>
      <w:bookmarkStart w:id="100" w:name="_Toc23998"/>
      <w:bookmarkStart w:id="101" w:name="_Toc22604"/>
      <w:bookmarkStart w:id="102" w:name="_Toc13575"/>
      <w:bookmarkStart w:id="103" w:name="_Toc5056"/>
      <w:bookmarkStart w:id="104" w:name="_Toc23947"/>
      <w:bookmarkStart w:id="105" w:name="_Toc17474"/>
      <w:bookmarkStart w:id="106" w:name="_Toc31166"/>
      <w:bookmarkStart w:id="107" w:name="_Toc21368"/>
      <w:bookmarkStart w:id="108" w:name="_Toc3150"/>
      <w:bookmarkStart w:id="109" w:name="_Toc3288"/>
      <w:bookmarkStart w:id="110" w:name="_Toc29165"/>
      <w:bookmarkStart w:id="111" w:name="_Toc14650"/>
      <w:bookmarkStart w:id="112" w:name="_Toc23743"/>
      <w:bookmarkStart w:id="113" w:name="_Toc25563"/>
      <w:r>
        <w:rPr>
          <w:b/>
          <w:kern w:val="0"/>
          <w:sz w:val="28"/>
          <w:szCs w:val="28"/>
        </w:rPr>
        <w:t>附件4：业绩汇总表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360" w:lineRule="auto"/>
        <w:ind w:right="960"/>
        <w:rPr>
          <w:rFonts w:eastAsia="仿宋_GB2312"/>
        </w:rPr>
      </w:pPr>
    </w:p>
    <w:tbl>
      <w:tblPr>
        <w:tblStyle w:val="27"/>
        <w:tblW w:w="141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注：业绩以提供符合要求的合同数量确定。</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360" w:lineRule="auto"/>
        <w:ind w:right="960"/>
        <w:jc w:val="right"/>
        <w:rPr>
          <w:rFonts w:hint="eastAsia" w:ascii="宋体" w:hAnsi="宋体" w:eastAsia="宋体" w:cs="宋体"/>
          <w:sz w:val="24"/>
        </w:rPr>
      </w:pPr>
      <w:r>
        <w:rPr>
          <w:rFonts w:hint="eastAsia" w:ascii="宋体" w:hAnsi="宋体" w:cs="宋体"/>
          <w:sz w:val="24"/>
          <w:lang w:eastAsia="zh-CN"/>
        </w:rPr>
        <w:t>供应商公</w:t>
      </w:r>
      <w:r>
        <w:rPr>
          <w:rFonts w:hint="eastAsia" w:ascii="宋体" w:hAnsi="宋体" w:eastAsia="宋体" w:cs="宋体"/>
          <w:sz w:val="24"/>
        </w:rPr>
        <w:t>章</w:t>
      </w:r>
    </w:p>
    <w:p>
      <w:pPr>
        <w:spacing w:line="360" w:lineRule="auto"/>
        <w:ind w:right="960"/>
        <w:jc w:val="right"/>
        <w:rPr>
          <w:rFonts w:hint="eastAsia" w:ascii="宋体" w:hAnsi="宋体" w:eastAsia="宋体" w:cs="宋体"/>
          <w:sz w:val="24"/>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年  月  日</w:t>
      </w:r>
    </w:p>
    <w:p>
      <w:pPr>
        <w:pStyle w:val="24"/>
        <w:pageBreakBefore/>
        <w:jc w:val="both"/>
      </w:pPr>
      <w:bookmarkStart w:id="114" w:name="_Toc22564"/>
      <w:bookmarkStart w:id="115" w:name="_Toc3848"/>
      <w:bookmarkStart w:id="116" w:name="_Toc27824"/>
      <w:bookmarkStart w:id="117" w:name="_Toc15243"/>
      <w:bookmarkStart w:id="118" w:name="_Toc900"/>
      <w:bookmarkStart w:id="119" w:name="_Toc13141"/>
      <w:bookmarkStart w:id="120" w:name="_Toc5186"/>
      <w:bookmarkStart w:id="121" w:name="_Toc26340"/>
      <w:bookmarkStart w:id="122" w:name="_Toc2580"/>
      <w:bookmarkStart w:id="123" w:name="_Toc130"/>
      <w:bookmarkStart w:id="124" w:name="_Toc29218"/>
      <w:bookmarkStart w:id="125" w:name="_Toc14477"/>
      <w:bookmarkStart w:id="126" w:name="_Toc9458"/>
      <w:bookmarkStart w:id="127" w:name="_Toc12196"/>
      <w:r>
        <w:rPr>
          <w:rStyle w:val="52"/>
          <w:b/>
          <w:bCs/>
        </w:rPr>
        <w:t>附件</w:t>
      </w:r>
      <w:r>
        <w:rPr>
          <w:rStyle w:val="52"/>
          <w:rFonts w:hint="eastAsia"/>
          <w:b/>
          <w:bCs/>
          <w:lang w:val="en-US" w:eastAsia="zh-CN"/>
        </w:rPr>
        <w:t>5</w:t>
      </w:r>
      <w:r>
        <w:rPr>
          <w:rStyle w:val="52"/>
          <w:b/>
          <w:bCs/>
        </w:rPr>
        <w:t>：供应商保密协议</w:t>
      </w:r>
      <w:bookmarkEnd w:id="114"/>
      <w:bookmarkEnd w:id="115"/>
      <w:bookmarkEnd w:id="116"/>
      <w:bookmarkEnd w:id="117"/>
      <w:bookmarkEnd w:id="118"/>
      <w:bookmarkEnd w:id="119"/>
      <w:bookmarkEnd w:id="120"/>
      <w:bookmarkEnd w:id="121"/>
      <w:bookmarkEnd w:id="122"/>
      <w:bookmarkEnd w:id="123"/>
      <w:bookmarkEnd w:id="124"/>
      <w:bookmarkEnd w:id="125"/>
    </w:p>
    <w:bookmarkEnd w:id="42"/>
    <w:bookmarkEnd w:id="126"/>
    <w:bookmarkEnd w:id="127"/>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rPr>
      </w:pPr>
      <w:r>
        <w:rPr>
          <w:rFonts w:hint="eastAsia" w:ascii="仿宋" w:hAnsi="仿宋" w:eastAsia="仿宋" w:cs="仿宋"/>
          <w:sz w:val="24"/>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28" w:name="_Toc30221"/>
      <w:bookmarkStart w:id="129" w:name="_Toc7760"/>
      <w:bookmarkStart w:id="130" w:name="_Toc15219"/>
      <w:bookmarkStart w:id="131" w:name="_Toc18934"/>
      <w:r>
        <w:rPr>
          <w:rFonts w:hint="eastAsia" w:ascii="仿宋" w:hAnsi="仿宋" w:eastAsia="仿宋" w:cs="仿宋"/>
          <w:sz w:val="24"/>
        </w:rPr>
        <w:t>一、保密内容及范围</w:t>
      </w:r>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2" w:name="_Toc7829"/>
      <w:bookmarkStart w:id="133" w:name="_Toc14457"/>
      <w:bookmarkStart w:id="134" w:name="_Toc7968"/>
      <w:bookmarkStart w:id="135" w:name="_Toc8480"/>
      <w:r>
        <w:rPr>
          <w:rFonts w:hint="eastAsia" w:ascii="仿宋" w:hAnsi="仿宋" w:eastAsia="仿宋" w:cs="仿宋"/>
          <w:sz w:val="24"/>
        </w:rPr>
        <w:t>二、权利和义务</w:t>
      </w:r>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（1）重新评估乙方的</w:t>
      </w:r>
      <w:r>
        <w:rPr>
          <w:rFonts w:hint="eastAsia" w:ascii="仿宋" w:hAnsi="仿宋" w:eastAsia="仿宋" w:cs="仿宋"/>
          <w:sz w:val="24"/>
          <w:lang w:eastAsia="zh-CN"/>
        </w:rPr>
        <w:t>入围资格</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6" w:name="_Toc16653"/>
      <w:bookmarkStart w:id="137" w:name="_Toc19041"/>
      <w:bookmarkStart w:id="138" w:name="_Toc23806"/>
      <w:bookmarkStart w:id="139" w:name="_Toc5095"/>
      <w:r>
        <w:rPr>
          <w:rFonts w:hint="eastAsia" w:ascii="仿宋" w:hAnsi="仿宋" w:eastAsia="仿宋" w:cs="仿宋"/>
          <w:sz w:val="24"/>
        </w:rPr>
        <w:t>三、协议时效</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2、本协议</w:t>
      </w:r>
      <w:bookmarkStart w:id="140" w:name="_Toc17953"/>
      <w:bookmarkStart w:id="141" w:name="_Toc24037"/>
      <w:bookmarkStart w:id="142" w:name="_Toc13196"/>
      <w:bookmarkStart w:id="143" w:name="_Toc13720"/>
      <w:r>
        <w:rPr>
          <w:rFonts w:hint="eastAsia" w:ascii="仿宋" w:hAnsi="仿宋" w:eastAsia="仿宋" w:cs="仿宋"/>
          <w:sz w:val="24"/>
          <w:lang w:eastAsia="zh-CN"/>
        </w:rPr>
        <w:t>保密时效为自双方签字盖章之日起至供应终止。</w:t>
      </w:r>
    </w:p>
    <w:bookmarkEnd w:id="140"/>
    <w:bookmarkEnd w:id="141"/>
    <w:bookmarkEnd w:id="142"/>
    <w:bookmarkEnd w:id="143"/>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bookmarkStart w:id="144" w:name="_Toc13749"/>
      <w:bookmarkStart w:id="145" w:name="_Toc13014"/>
      <w:bookmarkStart w:id="146" w:name="_Toc7190"/>
      <w:bookmarkStart w:id="147" w:name="_Toc3102"/>
      <w:r>
        <w:rPr>
          <w:rFonts w:hint="eastAsia" w:ascii="仿宋" w:hAnsi="仿宋" w:eastAsia="仿宋" w:cs="仿宋"/>
          <w:sz w:val="24"/>
          <w:lang w:eastAsia="zh-CN"/>
        </w:rPr>
        <w:t>四</w:t>
      </w:r>
      <w:r>
        <w:rPr>
          <w:rFonts w:hint="eastAsia" w:ascii="仿宋" w:hAnsi="仿宋" w:eastAsia="仿宋" w:cs="仿宋"/>
          <w:sz w:val="24"/>
        </w:rPr>
        <w:t>、附则</w:t>
      </w:r>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本协议一式两份，双方各执一份，自双方签字、盖章之日起生效。</w:t>
      </w:r>
    </w:p>
    <w:p>
      <w:pPr>
        <w:spacing w:line="384" w:lineRule="exact"/>
        <w:jc w:val="left"/>
        <w:rPr>
          <w:rFonts w:hint="eastAsia" w:ascii="仿宋" w:hAnsi="仿宋" w:eastAsia="仿宋" w:cs="仿宋"/>
          <w:sz w:val="24"/>
        </w:rPr>
      </w:pPr>
    </w:p>
    <w:p>
      <w:pPr>
        <w:spacing w:line="384" w:lineRule="exact"/>
        <w:jc w:val="left"/>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lang w:val="en-US" w:eastAsia="zh-CN"/>
        </w:rPr>
        <w:t xml:space="preserve">                                            </w:t>
      </w:r>
      <w:r>
        <w:rPr>
          <w:rFonts w:hint="eastAsia" w:ascii="仿宋" w:hAnsi="仿宋" w:eastAsia="仿宋" w:cs="仿宋"/>
          <w:sz w:val="24"/>
        </w:rPr>
        <w:t xml:space="preserve">乙方： </w:t>
      </w:r>
    </w:p>
    <w:p>
      <w:pPr>
        <w:spacing w:line="480" w:lineRule="auto"/>
        <w:jc w:val="left"/>
        <w:rPr>
          <w:rFonts w:hint="eastAsia" w:ascii="仿宋" w:hAnsi="仿宋" w:eastAsia="仿宋" w:cs="仿宋"/>
          <w:sz w:val="24"/>
        </w:rPr>
      </w:pPr>
      <w:r>
        <w:rPr>
          <w:rFonts w:hint="eastAsia" w:ascii="仿宋" w:hAnsi="仿宋" w:eastAsia="仿宋" w:cs="仿宋"/>
          <w:sz w:val="24"/>
        </w:rPr>
        <w:t>代表签字：</w:t>
      </w:r>
      <w:r>
        <w:rPr>
          <w:rFonts w:hint="eastAsia" w:ascii="仿宋" w:hAnsi="仿宋" w:eastAsia="仿宋" w:cs="仿宋"/>
          <w:sz w:val="24"/>
          <w:lang w:val="en-US" w:eastAsia="zh-CN"/>
        </w:rPr>
        <w:t xml:space="preserve">                                        </w:t>
      </w:r>
      <w:r>
        <w:rPr>
          <w:rFonts w:hint="eastAsia" w:ascii="仿宋" w:hAnsi="仿宋" w:eastAsia="仿宋" w:cs="仿宋"/>
          <w:sz w:val="24"/>
        </w:rPr>
        <w:t>代表签字：</w:t>
      </w:r>
    </w:p>
    <w:p>
      <w:pPr>
        <w:spacing w:line="480" w:lineRule="auto"/>
        <w:jc w:val="left"/>
        <w:rPr>
          <w:rFonts w:hint="eastAsia" w:ascii="仿宋" w:hAnsi="仿宋" w:eastAsia="仿宋" w:cs="仿宋"/>
          <w:sz w:val="24"/>
        </w:rPr>
      </w:pPr>
      <w:r>
        <w:rPr>
          <w:rFonts w:hint="eastAsia" w:ascii="仿宋" w:hAnsi="仿宋" w:eastAsia="仿宋" w:cs="仿宋"/>
          <w:sz w:val="24"/>
        </w:rPr>
        <w:t>盖章：</w:t>
      </w:r>
      <w:r>
        <w:rPr>
          <w:rFonts w:hint="eastAsia" w:ascii="仿宋" w:hAnsi="仿宋" w:eastAsia="仿宋" w:cs="仿宋"/>
          <w:sz w:val="24"/>
          <w:lang w:val="en-US" w:eastAsia="zh-CN"/>
        </w:rPr>
        <w:t xml:space="preserve">                                            </w:t>
      </w:r>
      <w:r>
        <w:rPr>
          <w:rFonts w:hint="eastAsia" w:ascii="仿宋" w:hAnsi="仿宋" w:eastAsia="仿宋" w:cs="仿宋"/>
          <w:sz w:val="24"/>
        </w:rPr>
        <w:t>盖章：</w:t>
      </w:r>
    </w:p>
    <w:p>
      <w:pPr>
        <w:spacing w:line="480" w:lineRule="auto"/>
        <w:jc w:val="left"/>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rPr>
        <w:t>日期：</w:t>
      </w:r>
    </w:p>
    <w:p>
      <w:pPr>
        <w:pStyle w:val="13"/>
        <w:rPr>
          <w:rFonts w:hint="default"/>
          <w:lang w:val="en-US" w:eastAsia="zh-CN"/>
        </w:rPr>
      </w:pPr>
    </w:p>
    <w:p>
      <w:pPr>
        <w:keepNext w:val="0"/>
        <w:keepLines w:val="0"/>
        <w:pageBreakBefore w:val="0"/>
        <w:numPr>
          <w:ilvl w:val="0"/>
          <w:numId w:val="2"/>
        </w:numPr>
        <w:kinsoku/>
        <w:overflowPunct/>
        <w:topLinePunct w:val="0"/>
        <w:autoSpaceDE/>
        <w:autoSpaceDN/>
        <w:bidi w:val="0"/>
        <w:adjustRightInd/>
        <w:snapToGrid/>
        <w:spacing w:line="560" w:lineRule="exact"/>
        <w:jc w:val="center"/>
        <w:textAlignment w:val="auto"/>
        <w:outlineLvl w:val="1"/>
        <w:rPr>
          <w:rFonts w:hint="eastAsia" w:ascii="宋体" w:cs="宋体"/>
          <w:b/>
          <w:bCs/>
          <w:snapToGrid w:val="0"/>
          <w:kern w:val="0"/>
          <w:sz w:val="44"/>
          <w:szCs w:val="44"/>
          <w:lang w:eastAsia="zh-CN"/>
        </w:rPr>
      </w:pPr>
      <w:r>
        <w:rPr>
          <w:rFonts w:hint="eastAsia" w:ascii="宋体" w:cs="宋体"/>
          <w:b/>
          <w:bCs/>
          <w:snapToGrid w:val="0"/>
          <w:kern w:val="0"/>
          <w:sz w:val="44"/>
          <w:szCs w:val="44"/>
          <w:lang w:eastAsia="zh-CN"/>
        </w:rPr>
        <w:t>技术要求</w:t>
      </w:r>
    </w:p>
    <w:p>
      <w:pPr>
        <w:pStyle w:val="13"/>
        <w:widowControl w:val="0"/>
        <w:numPr>
          <w:ilvl w:val="0"/>
          <w:numId w:val="0"/>
        </w:numPr>
        <w:spacing w:after="120"/>
        <w:jc w:val="both"/>
        <w:rPr>
          <w:rFonts w:hint="eastAsia"/>
          <w:lang w:eastAsia="zh-CN"/>
        </w:rPr>
      </w:pPr>
    </w:p>
    <w:p>
      <w:pPr>
        <w:pStyle w:val="5"/>
        <w:rPr>
          <w:rFonts w:ascii="微软雅黑" w:hAnsi="微软雅黑" w:eastAsia="微软雅黑"/>
        </w:rPr>
      </w:pPr>
      <w:r>
        <w:rPr>
          <w:rFonts w:hint="eastAsia" w:ascii="微软雅黑" w:hAnsi="微软雅黑" w:eastAsia="微软雅黑"/>
        </w:rPr>
        <w:t>通用条件</w:t>
      </w:r>
    </w:p>
    <w:p>
      <w:pPr>
        <w:numPr>
          <w:ilvl w:val="0"/>
          <w:numId w:val="3"/>
        </w:numPr>
        <w:adjustRightInd w:val="0"/>
        <w:snapToGrid w:val="0"/>
        <w:spacing w:line="312" w:lineRule="auto"/>
        <w:rPr>
          <w:rFonts w:ascii="微软雅黑" w:hAnsi="微软雅黑" w:eastAsia="微软雅黑"/>
          <w:sz w:val="24"/>
        </w:rPr>
      </w:pPr>
      <w:bookmarkStart w:id="148" w:name="_Hlk140060733"/>
      <w:r>
        <w:rPr>
          <w:rFonts w:hint="eastAsia" w:ascii="微软雅黑" w:hAnsi="微软雅黑" w:eastAsia="微软雅黑"/>
          <w:sz w:val="24"/>
        </w:rPr>
        <w:t>制造商应为国际或国内一线品牌</w:t>
      </w:r>
      <w:bookmarkEnd w:id="148"/>
      <w:r>
        <w:rPr>
          <w:rFonts w:hint="eastAsia" w:ascii="微软雅黑" w:hAnsi="微软雅黑" w:eastAsia="微软雅黑"/>
          <w:sz w:val="24"/>
        </w:rPr>
        <w:t>。</w:t>
      </w:r>
    </w:p>
    <w:p>
      <w:pPr>
        <w:numPr>
          <w:ilvl w:val="0"/>
          <w:numId w:val="3"/>
        </w:numPr>
        <w:adjustRightInd w:val="0"/>
        <w:snapToGrid w:val="0"/>
        <w:spacing w:line="312" w:lineRule="auto"/>
        <w:rPr>
          <w:rFonts w:ascii="微软雅黑" w:hAnsi="微软雅黑" w:eastAsia="微软雅黑"/>
          <w:sz w:val="24"/>
        </w:rPr>
      </w:pPr>
      <w:r>
        <w:rPr>
          <w:rFonts w:hint="eastAsia" w:ascii="微软雅黑" w:hAnsi="微软雅黑" w:eastAsia="微软雅黑"/>
          <w:sz w:val="24"/>
        </w:rPr>
        <w:t>制造商具有压缩机的生产设计能力，并与投标产品品牌一致。</w:t>
      </w:r>
    </w:p>
    <w:p>
      <w:pPr>
        <w:numPr>
          <w:ilvl w:val="0"/>
          <w:numId w:val="3"/>
        </w:numPr>
        <w:adjustRightInd w:val="0"/>
        <w:snapToGrid w:val="0"/>
        <w:spacing w:line="312" w:lineRule="auto"/>
        <w:rPr>
          <w:rFonts w:ascii="微软雅黑" w:hAnsi="微软雅黑" w:eastAsia="微软雅黑"/>
          <w:sz w:val="24"/>
        </w:rPr>
      </w:pPr>
      <w:r>
        <w:rPr>
          <w:rFonts w:hint="eastAsia" w:ascii="微软雅黑" w:hAnsi="微软雅黑" w:eastAsia="微软雅黑"/>
          <w:sz w:val="24"/>
        </w:rPr>
        <w:t>制造商应具有制造资质，有丰富的实际制造经验。</w:t>
      </w:r>
    </w:p>
    <w:p>
      <w:pPr>
        <w:numPr>
          <w:ilvl w:val="0"/>
          <w:numId w:val="3"/>
        </w:numPr>
        <w:adjustRightInd w:val="0"/>
        <w:snapToGrid w:val="0"/>
        <w:spacing w:line="312" w:lineRule="auto"/>
        <w:rPr>
          <w:rFonts w:ascii="微软雅黑" w:hAnsi="微软雅黑" w:eastAsia="微软雅黑"/>
          <w:sz w:val="24"/>
        </w:rPr>
      </w:pPr>
      <w:r>
        <w:rPr>
          <w:rFonts w:hint="eastAsia" w:ascii="微软雅黑" w:hAnsi="微软雅黑" w:eastAsia="微软雅黑"/>
          <w:sz w:val="24"/>
        </w:rPr>
        <w:t>制造商需</w:t>
      </w:r>
      <w:r>
        <w:rPr>
          <w:rFonts w:hint="eastAsia" w:ascii="微软雅黑" w:hAnsi="微软雅黑" w:eastAsia="微软雅黑" w:cs="Arial"/>
          <w:color w:val="000000"/>
          <w:sz w:val="24"/>
        </w:rPr>
        <w:t>通过</w:t>
      </w:r>
      <w:r>
        <w:rPr>
          <w:rFonts w:ascii="微软雅黑" w:hAnsi="微软雅黑" w:eastAsia="微软雅黑" w:cs="Arial"/>
          <w:color w:val="000000"/>
          <w:sz w:val="24"/>
        </w:rPr>
        <w:t>ISO9001</w:t>
      </w:r>
      <w:r>
        <w:rPr>
          <w:rFonts w:hint="eastAsia" w:ascii="微软雅黑" w:hAnsi="微软雅黑" w:eastAsia="微软雅黑" w:cs="Arial"/>
          <w:color w:val="000000"/>
          <w:sz w:val="24"/>
        </w:rPr>
        <w:t>、</w:t>
      </w:r>
      <w:r>
        <w:rPr>
          <w:rFonts w:ascii="微软雅黑" w:hAnsi="微软雅黑" w:eastAsia="微软雅黑" w:cs="Arial"/>
          <w:color w:val="000000"/>
          <w:sz w:val="24"/>
        </w:rPr>
        <w:t>ISO14001</w:t>
      </w:r>
      <w:r>
        <w:rPr>
          <w:rFonts w:hint="eastAsia" w:ascii="微软雅黑" w:hAnsi="微软雅黑" w:eastAsia="微软雅黑" w:cs="Arial"/>
          <w:color w:val="000000"/>
          <w:sz w:val="24"/>
        </w:rPr>
        <w:t>、IO</w:t>
      </w:r>
      <w:r>
        <w:rPr>
          <w:rFonts w:ascii="微软雅黑" w:hAnsi="微软雅黑" w:eastAsia="微软雅黑" w:cs="Arial"/>
          <w:color w:val="000000"/>
          <w:sz w:val="24"/>
        </w:rPr>
        <w:t>45001</w:t>
      </w:r>
      <w:r>
        <w:rPr>
          <w:rFonts w:hint="eastAsia" w:ascii="微软雅黑" w:hAnsi="微软雅黑" w:eastAsia="微软雅黑" w:cs="Arial"/>
          <w:color w:val="000000"/>
          <w:sz w:val="24"/>
        </w:rPr>
        <w:t>、</w:t>
      </w:r>
      <w:r>
        <w:rPr>
          <w:rFonts w:ascii="微软雅黑" w:hAnsi="微软雅黑" w:eastAsia="微软雅黑" w:cs="Arial"/>
          <w:color w:val="000000"/>
          <w:sz w:val="24"/>
        </w:rPr>
        <w:t>CRAA</w:t>
      </w:r>
      <w:r>
        <w:rPr>
          <w:rFonts w:hint="eastAsia" w:ascii="微软雅黑" w:hAnsi="微软雅黑" w:eastAsia="微软雅黑" w:cs="Arial"/>
          <w:color w:val="000000"/>
          <w:sz w:val="24"/>
        </w:rPr>
        <w:t>产品认证、CRAA机械安全认证等系列认证。</w:t>
      </w:r>
    </w:p>
    <w:p>
      <w:pPr>
        <w:numPr>
          <w:ilvl w:val="0"/>
          <w:numId w:val="3"/>
        </w:numPr>
        <w:adjustRightInd w:val="0"/>
        <w:snapToGrid w:val="0"/>
        <w:spacing w:line="312" w:lineRule="auto"/>
        <w:rPr>
          <w:rFonts w:ascii="微软雅黑" w:hAnsi="微软雅黑" w:eastAsia="微软雅黑"/>
          <w:sz w:val="24"/>
        </w:rPr>
      </w:pPr>
      <w:r>
        <w:rPr>
          <w:rFonts w:hint="eastAsia" w:ascii="微软雅黑" w:hAnsi="微软雅黑" w:eastAsia="微软雅黑"/>
          <w:sz w:val="24"/>
        </w:rPr>
        <w:t>制造商取得中国权威部门的设计、制造许可证，压力容器生产许可为中、低压容器</w:t>
      </w:r>
      <w:r>
        <w:rPr>
          <w:rFonts w:ascii="微软雅黑" w:hAnsi="微软雅黑" w:eastAsia="微软雅黑"/>
          <w:sz w:val="24"/>
        </w:rPr>
        <w:t>D</w:t>
      </w:r>
      <w:r>
        <w:rPr>
          <w:rFonts w:hint="eastAsia" w:ascii="微软雅黑" w:hAnsi="微软雅黑" w:eastAsia="微软雅黑"/>
          <w:sz w:val="24"/>
        </w:rPr>
        <w:t>，第一类压力容器，第二类中、低压。</w:t>
      </w:r>
    </w:p>
    <w:p>
      <w:pPr>
        <w:numPr>
          <w:ilvl w:val="0"/>
          <w:numId w:val="3"/>
        </w:numPr>
        <w:adjustRightInd w:val="0"/>
        <w:snapToGrid w:val="0"/>
        <w:spacing w:line="312" w:lineRule="auto"/>
        <w:rPr>
          <w:rFonts w:ascii="微软雅黑" w:hAnsi="微软雅黑" w:eastAsia="微软雅黑"/>
          <w:sz w:val="24"/>
        </w:rPr>
      </w:pPr>
      <w:r>
        <w:rPr>
          <w:rFonts w:hint="eastAsia" w:ascii="微软雅黑" w:hAnsi="微软雅黑" w:eastAsia="微软雅黑"/>
          <w:sz w:val="24"/>
        </w:rPr>
        <w:t>制造商应提供产品设计及制造标准。</w:t>
      </w:r>
    </w:p>
    <w:p>
      <w:pPr>
        <w:numPr>
          <w:ilvl w:val="0"/>
          <w:numId w:val="3"/>
        </w:numPr>
        <w:snapToGrid w:val="0"/>
        <w:spacing w:line="312" w:lineRule="auto"/>
        <w:rPr>
          <w:rFonts w:ascii="微软雅黑" w:hAnsi="微软雅黑" w:eastAsia="微软雅黑" w:cs="Arial"/>
          <w:color w:val="000000"/>
          <w:sz w:val="24"/>
        </w:rPr>
      </w:pPr>
      <w:r>
        <w:rPr>
          <w:rFonts w:hint="eastAsia" w:ascii="微软雅黑" w:hAnsi="微软雅黑" w:eastAsia="微软雅黑" w:cs="Arial"/>
          <w:color w:val="000000"/>
          <w:sz w:val="24"/>
        </w:rPr>
        <w:t>制造商获得过中华人民共和国国家知识产权局颁发的技术专利证书。</w:t>
      </w:r>
    </w:p>
    <w:p>
      <w:pPr>
        <w:numPr>
          <w:ilvl w:val="0"/>
          <w:numId w:val="3"/>
        </w:numPr>
        <w:snapToGrid w:val="0"/>
        <w:spacing w:line="312" w:lineRule="auto"/>
        <w:rPr>
          <w:rFonts w:ascii="微软雅黑" w:hAnsi="微软雅黑" w:eastAsia="微软雅黑" w:cs="Arial"/>
          <w:color w:val="000000"/>
          <w:sz w:val="24"/>
        </w:rPr>
      </w:pPr>
      <w:r>
        <w:rPr>
          <w:rFonts w:hint="eastAsia" w:ascii="微软雅黑" w:hAnsi="微软雅黑" w:eastAsia="微软雅黑" w:cs="Arial"/>
          <w:color w:val="000000"/>
          <w:sz w:val="24"/>
        </w:rPr>
        <w:t>制造商应设有经AHRI认证的同类产品全性能测试台；</w:t>
      </w:r>
    </w:p>
    <w:p>
      <w:pPr>
        <w:numPr>
          <w:ilvl w:val="0"/>
          <w:numId w:val="3"/>
        </w:numPr>
        <w:snapToGrid w:val="0"/>
        <w:spacing w:line="312" w:lineRule="auto"/>
        <w:rPr>
          <w:rFonts w:ascii="微软雅黑" w:hAnsi="微软雅黑" w:eastAsia="微软雅黑" w:cs="Arial"/>
          <w:color w:val="000000"/>
          <w:sz w:val="24"/>
        </w:rPr>
      </w:pPr>
      <w:r>
        <w:rPr>
          <w:rFonts w:hint="eastAsia" w:ascii="微软雅黑" w:hAnsi="微软雅黑" w:eastAsia="微软雅黑" w:cs="Arial"/>
          <w:color w:val="000000"/>
          <w:sz w:val="24"/>
        </w:rPr>
        <w:t>售后服务由制造厂商负责，且制造商在全国有多家售后服务机构，并在用户周边设有服务机构。</w:t>
      </w:r>
    </w:p>
    <w:p>
      <w:pPr>
        <w:numPr>
          <w:ilvl w:val="0"/>
          <w:numId w:val="3"/>
        </w:numPr>
        <w:snapToGrid w:val="0"/>
        <w:spacing w:line="312" w:lineRule="auto"/>
        <w:rPr>
          <w:rFonts w:ascii="微软雅黑" w:hAnsi="微软雅黑" w:eastAsia="微软雅黑" w:cs="Arial"/>
          <w:color w:val="000000"/>
          <w:sz w:val="24"/>
        </w:rPr>
      </w:pPr>
      <w:r>
        <w:rPr>
          <w:rFonts w:hint="eastAsia" w:ascii="微软雅黑" w:hAnsi="微软雅黑" w:eastAsia="微软雅黑" w:cs="Arial"/>
          <w:color w:val="000000"/>
          <w:sz w:val="24"/>
        </w:rPr>
        <w:t>制造商有</w:t>
      </w:r>
      <w:r>
        <w:rPr>
          <w:rFonts w:ascii="微软雅黑" w:hAnsi="微软雅黑" w:eastAsia="微软雅黑" w:cs="Arial"/>
          <w:color w:val="000000"/>
          <w:sz w:val="24"/>
        </w:rPr>
        <w:t>24</w:t>
      </w:r>
      <w:r>
        <w:rPr>
          <w:rFonts w:hint="eastAsia" w:ascii="微软雅黑" w:hAnsi="微软雅黑" w:eastAsia="微软雅黑" w:cs="Arial"/>
          <w:color w:val="000000"/>
          <w:sz w:val="24"/>
        </w:rPr>
        <w:t>小时报修热线电话、免费报修电话</w:t>
      </w:r>
      <w:r>
        <w:rPr>
          <w:rFonts w:hint="eastAsia" w:ascii="微软雅黑" w:hAnsi="微软雅黑" w:eastAsia="微软雅黑" w:cs="Arial"/>
          <w:sz w:val="24"/>
        </w:rPr>
        <w:t>；</w:t>
      </w:r>
    </w:p>
    <w:p>
      <w:pPr>
        <w:numPr>
          <w:ilvl w:val="0"/>
          <w:numId w:val="3"/>
        </w:numPr>
        <w:snapToGrid w:val="0"/>
        <w:spacing w:line="312" w:lineRule="auto"/>
        <w:rPr>
          <w:rFonts w:ascii="微软雅黑" w:hAnsi="微软雅黑" w:eastAsia="微软雅黑" w:cs="Arial"/>
          <w:color w:val="000000"/>
          <w:sz w:val="24"/>
        </w:rPr>
      </w:pPr>
      <w:r>
        <w:rPr>
          <w:rFonts w:hint="eastAsia" w:ascii="微软雅黑" w:hAnsi="微软雅黑" w:eastAsia="微软雅黑" w:cs="Arial"/>
          <w:color w:val="000000"/>
          <w:sz w:val="24"/>
        </w:rPr>
        <w:t>免费提供操作维修人员培训并制定详细培训课程的安排</w:t>
      </w:r>
      <w:r>
        <w:rPr>
          <w:rFonts w:hint="eastAsia" w:ascii="微软雅黑" w:hAnsi="微软雅黑" w:eastAsia="微软雅黑" w:cs="Arial"/>
          <w:sz w:val="24"/>
        </w:rPr>
        <w:t>；</w:t>
      </w:r>
    </w:p>
    <w:p>
      <w:pPr>
        <w:numPr>
          <w:ilvl w:val="0"/>
          <w:numId w:val="3"/>
        </w:numPr>
        <w:snapToGrid w:val="0"/>
        <w:spacing w:line="312" w:lineRule="auto"/>
        <w:rPr>
          <w:rFonts w:ascii="微软雅黑" w:hAnsi="微软雅黑" w:eastAsia="微软雅黑" w:cs="Arial"/>
        </w:rPr>
      </w:pPr>
      <w:r>
        <w:rPr>
          <w:rFonts w:hint="eastAsia" w:ascii="微软雅黑" w:hAnsi="微软雅黑" w:eastAsia="微软雅黑" w:cs="Arial"/>
          <w:color w:val="000000"/>
          <w:sz w:val="24"/>
        </w:rPr>
        <w:t>制造商应指导安装、负责开机调试和配合整个系统的联调</w:t>
      </w:r>
      <w:r>
        <w:rPr>
          <w:rFonts w:hint="eastAsia" w:ascii="微软雅黑" w:hAnsi="微软雅黑" w:eastAsia="微软雅黑" w:cs="Arial"/>
          <w:sz w:val="24"/>
        </w:rPr>
        <w:t>的计划、操作及维修人员的培训计划及安排；</w:t>
      </w:r>
    </w:p>
    <w:p>
      <w:pPr>
        <w:adjustRightInd w:val="0"/>
        <w:snapToGrid w:val="0"/>
        <w:spacing w:line="360" w:lineRule="auto"/>
        <w:rPr>
          <w:rFonts w:ascii="微软雅黑" w:hAnsi="微软雅黑" w:eastAsia="微软雅黑"/>
          <w:b/>
          <w:sz w:val="28"/>
          <w:szCs w:val="28"/>
        </w:rPr>
      </w:pPr>
      <w:r>
        <w:rPr>
          <w:rFonts w:ascii="微软雅黑" w:hAnsi="微软雅黑" w:eastAsia="微软雅黑"/>
          <w:b/>
          <w:sz w:val="28"/>
          <w:szCs w:val="28"/>
        </w:rPr>
        <w:br w:type="page"/>
      </w:r>
    </w:p>
    <w:p>
      <w:pPr>
        <w:pStyle w:val="5"/>
        <w:rPr>
          <w:rFonts w:ascii="微软雅黑" w:hAnsi="微软雅黑" w:eastAsia="微软雅黑"/>
        </w:rPr>
      </w:pPr>
      <w:r>
        <w:rPr>
          <w:rFonts w:hint="eastAsia" w:ascii="微软雅黑" w:hAnsi="微软雅黑" w:eastAsia="微软雅黑"/>
        </w:rPr>
        <w:t>离心式热泵机组技术要求：</w:t>
      </w:r>
    </w:p>
    <w:p>
      <w:pPr>
        <w:pStyle w:val="39"/>
        <w:numPr>
          <w:ilvl w:val="0"/>
          <w:numId w:val="4"/>
        </w:numPr>
        <w:snapToGrid w:val="0"/>
        <w:spacing w:line="360" w:lineRule="auto"/>
        <w:ind w:left="142" w:firstLine="0" w:firstLineChars="0"/>
        <w:rPr>
          <w:rFonts w:ascii="微软雅黑" w:hAnsi="微软雅黑" w:eastAsia="微软雅黑"/>
          <w:b/>
          <w:sz w:val="24"/>
          <w:szCs w:val="24"/>
        </w:rPr>
      </w:pPr>
      <w:bookmarkStart w:id="149" w:name="_Toc441053365"/>
      <w:r>
        <w:rPr>
          <w:rFonts w:hint="eastAsia" w:ascii="微软雅黑" w:hAnsi="微软雅黑" w:eastAsia="微软雅黑"/>
          <w:b/>
          <w:sz w:val="24"/>
          <w:szCs w:val="24"/>
        </w:rPr>
        <w:t>技术规格</w:t>
      </w:r>
      <w:bookmarkEnd w:id="149"/>
    </w:p>
    <w:p>
      <w:pPr>
        <w:snapToGrid w:val="0"/>
        <w:spacing w:line="360" w:lineRule="auto"/>
        <w:rPr>
          <w:rFonts w:hint="eastAsia" w:ascii="微软雅黑" w:hAnsi="微软雅黑" w:eastAsia="微软雅黑"/>
          <w:sz w:val="24"/>
        </w:rPr>
      </w:pPr>
      <w:r>
        <w:rPr>
          <w:rFonts w:hint="eastAsia" w:ascii="微软雅黑" w:hAnsi="微软雅黑" w:eastAsia="微软雅黑"/>
          <w:sz w:val="24"/>
        </w:rPr>
        <w:t>本次招标离心式热泵机组</w:t>
      </w:r>
      <w:r>
        <w:rPr>
          <w:rFonts w:hint="eastAsia" w:ascii="微软雅黑" w:hAnsi="微软雅黑" w:eastAsia="微软雅黑"/>
          <w:sz w:val="24"/>
          <w:lang w:val="en-US" w:eastAsia="zh-CN"/>
        </w:rPr>
        <w:t>为热力站项目热源设备</w:t>
      </w:r>
      <w:r>
        <w:rPr>
          <w:rFonts w:hint="eastAsia" w:ascii="微软雅黑" w:hAnsi="微软雅黑" w:eastAsia="微软雅黑"/>
          <w:sz w:val="24"/>
        </w:rPr>
        <w:t>，制热量偏离不得超过3%，台数不得偏离，根据以下设备参数要求，提供选型报告：</w:t>
      </w:r>
    </w:p>
    <w:tbl>
      <w:tblPr>
        <w:tblStyle w:val="2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309"/>
        <w:gridCol w:w="479"/>
        <w:gridCol w:w="2995"/>
        <w:gridCol w:w="579"/>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eastAsia" w:ascii="微软雅黑" w:hAnsi="微软雅黑" w:eastAsia="微软雅黑"/>
                <w:sz w:val="21"/>
                <w:szCs w:val="21"/>
                <w:vertAlign w:val="baseline"/>
                <w:lang w:val="en-US" w:eastAsia="zh-CN"/>
              </w:rPr>
            </w:pPr>
            <w:bookmarkStart w:id="150" w:name="_Hlk139610666"/>
            <w:r>
              <w:rPr>
                <w:rFonts w:hint="eastAsia" w:ascii="微软雅黑" w:hAnsi="微软雅黑" w:eastAsia="微软雅黑"/>
                <w:sz w:val="21"/>
                <w:szCs w:val="21"/>
                <w:vertAlign w:val="baseline"/>
                <w:lang w:val="en-US" w:eastAsia="zh-CN"/>
              </w:rPr>
              <w:t>序号</w:t>
            </w:r>
          </w:p>
        </w:tc>
        <w:tc>
          <w:tcPr>
            <w:tcW w:w="2309" w:type="dxa"/>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位置</w:t>
            </w:r>
          </w:p>
        </w:tc>
        <w:tc>
          <w:tcPr>
            <w:tcW w:w="479" w:type="dxa"/>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单位</w:t>
            </w:r>
          </w:p>
        </w:tc>
        <w:tc>
          <w:tcPr>
            <w:tcW w:w="2995" w:type="dxa"/>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参数</w:t>
            </w:r>
          </w:p>
        </w:tc>
        <w:tc>
          <w:tcPr>
            <w:tcW w:w="579" w:type="dxa"/>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数量</w:t>
            </w:r>
          </w:p>
        </w:tc>
        <w:tc>
          <w:tcPr>
            <w:tcW w:w="1687" w:type="dxa"/>
            <w:vAlign w:val="center"/>
          </w:tcPr>
          <w:p>
            <w:pPr>
              <w:spacing w:line="500" w:lineRule="exact"/>
              <w:jc w:val="center"/>
              <w:rPr>
                <w:rFonts w:hint="default"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最大外形尺寸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309" w:type="dxa"/>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一期热力站低区</w:t>
            </w:r>
          </w:p>
        </w:tc>
        <w:tc>
          <w:tcPr>
            <w:tcW w:w="479" w:type="dxa"/>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换热量2410KW,电功率463KW,蒸发器进出口温度11/4℃；冷凝器进出口温度35/45℃</w:t>
            </w:r>
          </w:p>
        </w:tc>
        <w:tc>
          <w:tcPr>
            <w:tcW w:w="579" w:type="dxa"/>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687" w:type="dxa"/>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5000x2210x3000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2</w:t>
            </w:r>
          </w:p>
        </w:tc>
        <w:tc>
          <w:tcPr>
            <w:tcW w:w="230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一期热力站</w:t>
            </w:r>
            <w:r>
              <w:rPr>
                <w:rFonts w:hint="eastAsia" w:ascii="宋体" w:hAnsi="宋体" w:cs="宋体"/>
                <w:sz w:val="21"/>
                <w:szCs w:val="21"/>
                <w:vertAlign w:val="baseline"/>
                <w:lang w:val="en-US" w:eastAsia="zh-CN"/>
              </w:rPr>
              <w:t>高</w:t>
            </w:r>
            <w:r>
              <w:rPr>
                <w:rFonts w:hint="eastAsia" w:ascii="宋体" w:hAnsi="宋体" w:eastAsia="宋体" w:cs="宋体"/>
                <w:sz w:val="21"/>
                <w:szCs w:val="21"/>
                <w:vertAlign w:val="baseline"/>
                <w:lang w:val="en-US" w:eastAsia="zh-CN"/>
              </w:rPr>
              <w:t>区</w:t>
            </w:r>
          </w:p>
        </w:tc>
        <w:tc>
          <w:tcPr>
            <w:tcW w:w="4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换热量2</w:t>
            </w:r>
            <w:r>
              <w:rPr>
                <w:rFonts w:hint="eastAsia" w:ascii="宋体" w:hAnsi="宋体" w:cs="宋体"/>
                <w:sz w:val="21"/>
                <w:szCs w:val="21"/>
                <w:vertAlign w:val="baseline"/>
                <w:lang w:val="en-US" w:eastAsia="zh-CN"/>
              </w:rPr>
              <w:t>000</w:t>
            </w:r>
            <w:r>
              <w:rPr>
                <w:rFonts w:hint="eastAsia" w:ascii="宋体" w:hAnsi="宋体" w:eastAsia="宋体" w:cs="宋体"/>
                <w:sz w:val="21"/>
                <w:szCs w:val="21"/>
                <w:vertAlign w:val="baseline"/>
                <w:lang w:val="en-US" w:eastAsia="zh-CN"/>
              </w:rPr>
              <w:t>KW,电功率</w:t>
            </w:r>
            <w:r>
              <w:rPr>
                <w:rFonts w:hint="eastAsia" w:ascii="宋体" w:hAnsi="宋体" w:cs="宋体"/>
                <w:sz w:val="21"/>
                <w:szCs w:val="21"/>
                <w:vertAlign w:val="baseline"/>
                <w:lang w:val="en-US" w:eastAsia="zh-CN"/>
              </w:rPr>
              <w:t>381</w:t>
            </w:r>
            <w:r>
              <w:rPr>
                <w:rFonts w:hint="eastAsia" w:ascii="宋体" w:hAnsi="宋体" w:eastAsia="宋体" w:cs="宋体"/>
                <w:sz w:val="21"/>
                <w:szCs w:val="21"/>
                <w:vertAlign w:val="baseline"/>
                <w:lang w:val="en-US" w:eastAsia="zh-CN"/>
              </w:rPr>
              <w:t>KW,蒸发器进出口温度11/4℃；冷凝器进出口温度35/45℃</w:t>
            </w:r>
          </w:p>
        </w:tc>
        <w:tc>
          <w:tcPr>
            <w:tcW w:w="5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c>
          <w:tcPr>
            <w:tcW w:w="168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4550x2020x3000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230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二</w:t>
            </w:r>
            <w:r>
              <w:rPr>
                <w:rFonts w:hint="eastAsia" w:ascii="宋体" w:hAnsi="宋体" w:eastAsia="宋体" w:cs="宋体"/>
                <w:sz w:val="21"/>
                <w:szCs w:val="21"/>
                <w:vertAlign w:val="baseline"/>
                <w:lang w:val="en-US" w:eastAsia="zh-CN"/>
              </w:rPr>
              <w:t>期</w:t>
            </w:r>
            <w:r>
              <w:rPr>
                <w:rFonts w:hint="eastAsia" w:ascii="宋体" w:hAnsi="宋体" w:cs="宋体"/>
                <w:sz w:val="21"/>
                <w:szCs w:val="21"/>
                <w:vertAlign w:val="baseline"/>
                <w:lang w:val="en-US" w:eastAsia="zh-CN"/>
              </w:rPr>
              <w:t>A</w:t>
            </w:r>
            <w:r>
              <w:rPr>
                <w:rFonts w:hint="eastAsia" w:ascii="宋体" w:hAnsi="宋体" w:eastAsia="宋体" w:cs="宋体"/>
                <w:sz w:val="21"/>
                <w:szCs w:val="21"/>
                <w:vertAlign w:val="baseline"/>
                <w:lang w:val="en-US" w:eastAsia="zh-CN"/>
              </w:rPr>
              <w:t>热力站低区</w:t>
            </w:r>
          </w:p>
        </w:tc>
        <w:tc>
          <w:tcPr>
            <w:tcW w:w="4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换热量2</w:t>
            </w:r>
            <w:r>
              <w:rPr>
                <w:rFonts w:hint="eastAsia" w:ascii="宋体" w:hAnsi="宋体" w:cs="宋体"/>
                <w:sz w:val="21"/>
                <w:szCs w:val="21"/>
                <w:vertAlign w:val="baseline"/>
                <w:lang w:val="en-US" w:eastAsia="zh-CN"/>
              </w:rPr>
              <w:t>157</w:t>
            </w:r>
            <w:r>
              <w:rPr>
                <w:rFonts w:hint="eastAsia" w:ascii="宋体" w:hAnsi="宋体" w:eastAsia="宋体" w:cs="宋体"/>
                <w:sz w:val="21"/>
                <w:szCs w:val="21"/>
                <w:vertAlign w:val="baseline"/>
                <w:lang w:val="en-US" w:eastAsia="zh-CN"/>
              </w:rPr>
              <w:t>KW,电功率4</w:t>
            </w:r>
            <w:r>
              <w:rPr>
                <w:rFonts w:hint="eastAsia" w:ascii="宋体" w:hAnsi="宋体" w:cs="宋体"/>
                <w:sz w:val="21"/>
                <w:szCs w:val="21"/>
                <w:vertAlign w:val="baseline"/>
                <w:lang w:val="en-US" w:eastAsia="zh-CN"/>
              </w:rPr>
              <w:t>15</w:t>
            </w:r>
            <w:r>
              <w:rPr>
                <w:rFonts w:hint="eastAsia" w:ascii="宋体" w:hAnsi="宋体" w:eastAsia="宋体" w:cs="宋体"/>
                <w:sz w:val="21"/>
                <w:szCs w:val="21"/>
                <w:vertAlign w:val="baseline"/>
                <w:lang w:val="en-US" w:eastAsia="zh-CN"/>
              </w:rPr>
              <w:t>KW,蒸发器进出口温度11/4℃；冷凝器进出口温度35/45℃</w:t>
            </w:r>
          </w:p>
        </w:tc>
        <w:tc>
          <w:tcPr>
            <w:tcW w:w="5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1687" w:type="dxa"/>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4550x2020x3000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4</w:t>
            </w:r>
          </w:p>
        </w:tc>
        <w:tc>
          <w:tcPr>
            <w:tcW w:w="230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二</w:t>
            </w:r>
            <w:r>
              <w:rPr>
                <w:rFonts w:hint="eastAsia" w:ascii="宋体" w:hAnsi="宋体" w:eastAsia="宋体" w:cs="宋体"/>
                <w:sz w:val="21"/>
                <w:szCs w:val="21"/>
                <w:vertAlign w:val="baseline"/>
                <w:lang w:val="en-US" w:eastAsia="zh-CN"/>
              </w:rPr>
              <w:t>期</w:t>
            </w:r>
            <w:r>
              <w:rPr>
                <w:rFonts w:hint="eastAsia" w:ascii="宋体" w:hAnsi="宋体" w:cs="宋体"/>
                <w:sz w:val="21"/>
                <w:szCs w:val="21"/>
                <w:vertAlign w:val="baseline"/>
                <w:lang w:val="en-US" w:eastAsia="zh-CN"/>
              </w:rPr>
              <w:t>A</w:t>
            </w:r>
            <w:r>
              <w:rPr>
                <w:rFonts w:hint="eastAsia" w:ascii="宋体" w:hAnsi="宋体" w:eastAsia="宋体" w:cs="宋体"/>
                <w:sz w:val="21"/>
                <w:szCs w:val="21"/>
                <w:vertAlign w:val="baseline"/>
                <w:lang w:val="en-US" w:eastAsia="zh-CN"/>
              </w:rPr>
              <w:t>热力站</w:t>
            </w:r>
            <w:r>
              <w:rPr>
                <w:rFonts w:hint="eastAsia" w:ascii="宋体" w:hAnsi="宋体" w:cs="宋体"/>
                <w:sz w:val="21"/>
                <w:szCs w:val="21"/>
                <w:vertAlign w:val="baseline"/>
                <w:lang w:val="en-US" w:eastAsia="zh-CN"/>
              </w:rPr>
              <w:t>高</w:t>
            </w:r>
            <w:r>
              <w:rPr>
                <w:rFonts w:hint="eastAsia" w:ascii="宋体" w:hAnsi="宋体" w:eastAsia="宋体" w:cs="宋体"/>
                <w:sz w:val="21"/>
                <w:szCs w:val="21"/>
                <w:vertAlign w:val="baseline"/>
                <w:lang w:val="en-US" w:eastAsia="zh-CN"/>
              </w:rPr>
              <w:t>区</w:t>
            </w:r>
          </w:p>
        </w:tc>
        <w:tc>
          <w:tcPr>
            <w:tcW w:w="4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换热量</w:t>
            </w:r>
            <w:r>
              <w:rPr>
                <w:rFonts w:hint="eastAsia" w:ascii="宋体" w:hAnsi="宋体" w:cs="宋体"/>
                <w:sz w:val="21"/>
                <w:szCs w:val="21"/>
                <w:vertAlign w:val="baseline"/>
                <w:lang w:val="en-US" w:eastAsia="zh-CN"/>
              </w:rPr>
              <w:t>1600</w:t>
            </w:r>
            <w:r>
              <w:rPr>
                <w:rFonts w:hint="eastAsia" w:ascii="宋体" w:hAnsi="宋体" w:eastAsia="宋体" w:cs="宋体"/>
                <w:sz w:val="21"/>
                <w:szCs w:val="21"/>
                <w:vertAlign w:val="baseline"/>
                <w:lang w:val="en-US" w:eastAsia="zh-CN"/>
              </w:rPr>
              <w:t>KW,电功率</w:t>
            </w:r>
            <w:r>
              <w:rPr>
                <w:rFonts w:hint="eastAsia" w:ascii="宋体" w:hAnsi="宋体" w:cs="宋体"/>
                <w:sz w:val="21"/>
                <w:szCs w:val="21"/>
                <w:vertAlign w:val="baseline"/>
                <w:lang w:val="en-US" w:eastAsia="zh-CN"/>
              </w:rPr>
              <w:t>325</w:t>
            </w:r>
            <w:r>
              <w:rPr>
                <w:rFonts w:hint="eastAsia" w:ascii="宋体" w:hAnsi="宋体" w:eastAsia="宋体" w:cs="宋体"/>
                <w:sz w:val="21"/>
                <w:szCs w:val="21"/>
                <w:vertAlign w:val="baseline"/>
                <w:lang w:val="en-US" w:eastAsia="zh-CN"/>
              </w:rPr>
              <w:t>KW,蒸发器进出口温度11/4℃；冷凝器进出口温度35/45℃</w:t>
            </w:r>
          </w:p>
        </w:tc>
        <w:tc>
          <w:tcPr>
            <w:tcW w:w="5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c>
          <w:tcPr>
            <w:tcW w:w="168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4550x2020x3000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230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二</w:t>
            </w:r>
            <w:r>
              <w:rPr>
                <w:rFonts w:hint="eastAsia" w:ascii="宋体" w:hAnsi="宋体" w:eastAsia="宋体" w:cs="宋体"/>
                <w:sz w:val="21"/>
                <w:szCs w:val="21"/>
                <w:vertAlign w:val="baseline"/>
                <w:lang w:val="en-US" w:eastAsia="zh-CN"/>
              </w:rPr>
              <w:t>期</w:t>
            </w:r>
            <w:r>
              <w:rPr>
                <w:rFonts w:hint="eastAsia" w:ascii="宋体" w:hAnsi="宋体" w:cs="宋体"/>
                <w:sz w:val="21"/>
                <w:szCs w:val="21"/>
                <w:vertAlign w:val="baseline"/>
                <w:lang w:val="en-US" w:eastAsia="zh-CN"/>
              </w:rPr>
              <w:t>B</w:t>
            </w:r>
            <w:r>
              <w:rPr>
                <w:rFonts w:hint="eastAsia" w:ascii="宋体" w:hAnsi="宋体" w:eastAsia="宋体" w:cs="宋体"/>
                <w:sz w:val="21"/>
                <w:szCs w:val="21"/>
                <w:vertAlign w:val="baseline"/>
                <w:lang w:val="en-US" w:eastAsia="zh-CN"/>
              </w:rPr>
              <w:t>热力站低区</w:t>
            </w:r>
          </w:p>
        </w:tc>
        <w:tc>
          <w:tcPr>
            <w:tcW w:w="4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换热量</w:t>
            </w:r>
            <w:r>
              <w:rPr>
                <w:rFonts w:hint="eastAsia" w:ascii="宋体" w:hAnsi="宋体" w:cs="宋体"/>
                <w:sz w:val="21"/>
                <w:szCs w:val="21"/>
                <w:vertAlign w:val="baseline"/>
                <w:lang w:val="en-US" w:eastAsia="zh-CN"/>
              </w:rPr>
              <w:t>1300</w:t>
            </w:r>
            <w:r>
              <w:rPr>
                <w:rFonts w:hint="eastAsia" w:ascii="宋体" w:hAnsi="宋体" w:eastAsia="宋体" w:cs="宋体"/>
                <w:sz w:val="21"/>
                <w:szCs w:val="21"/>
                <w:vertAlign w:val="baseline"/>
                <w:lang w:val="en-US" w:eastAsia="zh-CN"/>
              </w:rPr>
              <w:t>KW,电功率</w:t>
            </w:r>
            <w:r>
              <w:rPr>
                <w:rFonts w:hint="eastAsia" w:ascii="宋体" w:hAnsi="宋体" w:cs="宋体"/>
                <w:sz w:val="21"/>
                <w:szCs w:val="21"/>
                <w:vertAlign w:val="baseline"/>
                <w:lang w:val="en-US" w:eastAsia="zh-CN"/>
              </w:rPr>
              <w:t>250</w:t>
            </w:r>
            <w:r>
              <w:rPr>
                <w:rFonts w:hint="eastAsia" w:ascii="宋体" w:hAnsi="宋体" w:eastAsia="宋体" w:cs="宋体"/>
                <w:sz w:val="21"/>
                <w:szCs w:val="21"/>
                <w:vertAlign w:val="baseline"/>
                <w:lang w:val="en-US" w:eastAsia="zh-CN"/>
              </w:rPr>
              <w:t>KW,蒸发器进出口温度11/4℃；冷凝器进出口温度35/45℃</w:t>
            </w:r>
          </w:p>
        </w:tc>
        <w:tc>
          <w:tcPr>
            <w:tcW w:w="5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168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3850x1950x3000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6</w:t>
            </w:r>
          </w:p>
        </w:tc>
        <w:tc>
          <w:tcPr>
            <w:tcW w:w="2309" w:type="dxa"/>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二期C热力站</w:t>
            </w:r>
            <w:r>
              <w:rPr>
                <w:rFonts w:hint="eastAsia" w:ascii="宋体" w:hAnsi="宋体" w:cs="宋体"/>
                <w:sz w:val="21"/>
                <w:szCs w:val="21"/>
                <w:vertAlign w:val="baseline"/>
                <w:lang w:val="en-US" w:eastAsia="zh-CN"/>
              </w:rPr>
              <w:t>低区</w:t>
            </w:r>
          </w:p>
        </w:tc>
        <w:tc>
          <w:tcPr>
            <w:tcW w:w="479" w:type="dxa"/>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换热量</w:t>
            </w:r>
            <w:r>
              <w:rPr>
                <w:rFonts w:hint="eastAsia" w:ascii="宋体" w:hAnsi="宋体" w:cs="宋体"/>
                <w:sz w:val="21"/>
                <w:szCs w:val="21"/>
                <w:vertAlign w:val="baseline"/>
                <w:lang w:val="en-US" w:eastAsia="zh-CN"/>
              </w:rPr>
              <w:t>1934</w:t>
            </w:r>
            <w:r>
              <w:rPr>
                <w:rFonts w:hint="eastAsia" w:ascii="宋体" w:hAnsi="宋体" w:eastAsia="宋体" w:cs="宋体"/>
                <w:sz w:val="21"/>
                <w:szCs w:val="21"/>
                <w:vertAlign w:val="baseline"/>
                <w:lang w:val="en-US" w:eastAsia="zh-CN"/>
              </w:rPr>
              <w:t>KW,电功率</w:t>
            </w:r>
            <w:r>
              <w:rPr>
                <w:rFonts w:hint="eastAsia" w:ascii="宋体" w:hAnsi="宋体" w:cs="宋体"/>
                <w:sz w:val="21"/>
                <w:szCs w:val="21"/>
                <w:vertAlign w:val="baseline"/>
                <w:lang w:val="en-US" w:eastAsia="zh-CN"/>
              </w:rPr>
              <w:t>324.7</w:t>
            </w:r>
            <w:r>
              <w:rPr>
                <w:rFonts w:hint="eastAsia" w:ascii="宋体" w:hAnsi="宋体" w:eastAsia="宋体" w:cs="宋体"/>
                <w:sz w:val="21"/>
                <w:szCs w:val="21"/>
                <w:vertAlign w:val="baseline"/>
                <w:lang w:val="en-US" w:eastAsia="zh-CN"/>
              </w:rPr>
              <w:t>KW,蒸发器进出口温度11/4℃；冷凝器进出口温度35/45℃</w:t>
            </w:r>
          </w:p>
        </w:tc>
        <w:tc>
          <w:tcPr>
            <w:tcW w:w="5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168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4000x2600x3000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7</w:t>
            </w:r>
          </w:p>
        </w:tc>
        <w:tc>
          <w:tcPr>
            <w:tcW w:w="230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二期C热力站</w:t>
            </w:r>
            <w:r>
              <w:rPr>
                <w:rFonts w:hint="eastAsia" w:ascii="宋体" w:hAnsi="宋体" w:cs="宋体"/>
                <w:sz w:val="21"/>
                <w:szCs w:val="21"/>
                <w:vertAlign w:val="baseline"/>
                <w:lang w:val="en-US" w:eastAsia="zh-CN"/>
              </w:rPr>
              <w:t>高区</w:t>
            </w:r>
          </w:p>
        </w:tc>
        <w:tc>
          <w:tcPr>
            <w:tcW w:w="4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换热量</w:t>
            </w:r>
            <w:r>
              <w:rPr>
                <w:rFonts w:hint="eastAsia" w:ascii="宋体" w:hAnsi="宋体" w:cs="宋体"/>
                <w:sz w:val="21"/>
                <w:szCs w:val="21"/>
                <w:vertAlign w:val="baseline"/>
                <w:lang w:val="en-US" w:eastAsia="zh-CN"/>
              </w:rPr>
              <w:t>1231</w:t>
            </w:r>
            <w:r>
              <w:rPr>
                <w:rFonts w:hint="eastAsia" w:ascii="宋体" w:hAnsi="宋体" w:eastAsia="宋体" w:cs="宋体"/>
                <w:sz w:val="21"/>
                <w:szCs w:val="21"/>
                <w:vertAlign w:val="baseline"/>
                <w:lang w:val="en-US" w:eastAsia="zh-CN"/>
              </w:rPr>
              <w:t>KW,电功率</w:t>
            </w:r>
            <w:r>
              <w:rPr>
                <w:rFonts w:hint="eastAsia" w:ascii="宋体" w:hAnsi="宋体" w:cs="宋体"/>
                <w:sz w:val="21"/>
                <w:szCs w:val="21"/>
                <w:vertAlign w:val="baseline"/>
                <w:lang w:val="en-US" w:eastAsia="zh-CN"/>
              </w:rPr>
              <w:t>208.3</w:t>
            </w:r>
            <w:r>
              <w:rPr>
                <w:rFonts w:hint="eastAsia" w:ascii="宋体" w:hAnsi="宋体" w:eastAsia="宋体" w:cs="宋体"/>
                <w:sz w:val="21"/>
                <w:szCs w:val="21"/>
                <w:vertAlign w:val="baseline"/>
                <w:lang w:val="en-US" w:eastAsia="zh-CN"/>
              </w:rPr>
              <w:t>KW,蒸发器进出口温度11/4℃；冷凝器进出口温度35/45℃</w:t>
            </w:r>
          </w:p>
        </w:tc>
        <w:tc>
          <w:tcPr>
            <w:tcW w:w="5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c>
          <w:tcPr>
            <w:tcW w:w="168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4000x2200x3000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w:t>
            </w:r>
          </w:p>
        </w:tc>
        <w:tc>
          <w:tcPr>
            <w:tcW w:w="2309" w:type="dxa"/>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一期东地块热力站</w:t>
            </w:r>
          </w:p>
        </w:tc>
        <w:tc>
          <w:tcPr>
            <w:tcW w:w="4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换热量</w:t>
            </w:r>
            <w:r>
              <w:rPr>
                <w:rFonts w:hint="eastAsia" w:ascii="宋体" w:hAnsi="宋体" w:cs="宋体"/>
                <w:sz w:val="21"/>
                <w:szCs w:val="21"/>
                <w:vertAlign w:val="baseline"/>
                <w:lang w:val="en-US" w:eastAsia="zh-CN"/>
              </w:rPr>
              <w:t>1900</w:t>
            </w:r>
            <w:r>
              <w:rPr>
                <w:rFonts w:hint="eastAsia" w:ascii="宋体" w:hAnsi="宋体" w:eastAsia="宋体" w:cs="宋体"/>
                <w:sz w:val="21"/>
                <w:szCs w:val="21"/>
                <w:vertAlign w:val="baseline"/>
                <w:lang w:val="en-US" w:eastAsia="zh-CN"/>
              </w:rPr>
              <w:t>KW,电功率</w:t>
            </w:r>
            <w:r>
              <w:rPr>
                <w:rFonts w:hint="eastAsia" w:ascii="宋体" w:hAnsi="宋体" w:cs="宋体"/>
                <w:sz w:val="21"/>
                <w:szCs w:val="21"/>
                <w:highlight w:val="none"/>
                <w:vertAlign w:val="baseline"/>
                <w:lang w:val="en-US" w:eastAsia="zh-CN"/>
              </w:rPr>
              <w:t>380</w:t>
            </w:r>
            <w:r>
              <w:rPr>
                <w:rFonts w:hint="eastAsia" w:ascii="宋体" w:hAnsi="宋体" w:eastAsia="宋体" w:cs="宋体"/>
                <w:sz w:val="21"/>
                <w:szCs w:val="21"/>
                <w:vertAlign w:val="baseline"/>
                <w:lang w:val="en-US" w:eastAsia="zh-CN"/>
              </w:rPr>
              <w:t>KW,蒸发器进出口温度1</w:t>
            </w:r>
            <w:r>
              <w:rPr>
                <w:rFonts w:hint="eastAsia" w:ascii="宋体" w:hAnsi="宋体" w:cs="宋体"/>
                <w:sz w:val="21"/>
                <w:szCs w:val="21"/>
                <w:vertAlign w:val="baseline"/>
                <w:lang w:val="en-US" w:eastAsia="zh-CN"/>
              </w:rPr>
              <w:t>9</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7</w:t>
            </w:r>
            <w:r>
              <w:rPr>
                <w:rFonts w:hint="eastAsia" w:ascii="宋体" w:hAnsi="宋体" w:eastAsia="宋体" w:cs="宋体"/>
                <w:sz w:val="21"/>
                <w:szCs w:val="21"/>
                <w:vertAlign w:val="baseline"/>
                <w:lang w:val="en-US" w:eastAsia="zh-CN"/>
              </w:rPr>
              <w:t>℃；冷凝器进出口温度35/45℃</w:t>
            </w:r>
          </w:p>
        </w:tc>
        <w:tc>
          <w:tcPr>
            <w:tcW w:w="5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c>
          <w:tcPr>
            <w:tcW w:w="168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3780x2530x3000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9</w:t>
            </w:r>
          </w:p>
        </w:tc>
        <w:tc>
          <w:tcPr>
            <w:tcW w:w="230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一期</w:t>
            </w:r>
            <w:r>
              <w:rPr>
                <w:rFonts w:hint="eastAsia" w:ascii="宋体" w:hAnsi="宋体" w:cs="宋体"/>
                <w:sz w:val="21"/>
                <w:szCs w:val="21"/>
                <w:vertAlign w:val="baseline"/>
                <w:lang w:val="en-US" w:eastAsia="zh-CN"/>
              </w:rPr>
              <w:t>西</w:t>
            </w:r>
            <w:r>
              <w:rPr>
                <w:rFonts w:hint="eastAsia" w:ascii="宋体" w:hAnsi="宋体" w:eastAsia="宋体" w:cs="宋体"/>
                <w:sz w:val="21"/>
                <w:szCs w:val="21"/>
                <w:vertAlign w:val="baseline"/>
                <w:lang w:val="en-US" w:eastAsia="zh-CN"/>
              </w:rPr>
              <w:t>地块热力站</w:t>
            </w:r>
          </w:p>
        </w:tc>
        <w:tc>
          <w:tcPr>
            <w:tcW w:w="4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换热量</w:t>
            </w:r>
            <w:r>
              <w:rPr>
                <w:rFonts w:hint="eastAsia" w:ascii="宋体" w:hAnsi="宋体" w:cs="宋体"/>
                <w:sz w:val="21"/>
                <w:szCs w:val="21"/>
                <w:vertAlign w:val="baseline"/>
                <w:lang w:val="en-US" w:eastAsia="zh-CN"/>
              </w:rPr>
              <w:t>4700</w:t>
            </w:r>
            <w:r>
              <w:rPr>
                <w:rFonts w:hint="eastAsia" w:ascii="宋体" w:hAnsi="宋体" w:eastAsia="宋体" w:cs="宋体"/>
                <w:sz w:val="21"/>
                <w:szCs w:val="21"/>
                <w:vertAlign w:val="baseline"/>
                <w:lang w:val="en-US" w:eastAsia="zh-CN"/>
              </w:rPr>
              <w:t>KW,电功率</w:t>
            </w:r>
            <w:r>
              <w:rPr>
                <w:rFonts w:hint="eastAsia" w:ascii="宋体" w:hAnsi="宋体" w:cs="宋体"/>
                <w:sz w:val="21"/>
                <w:szCs w:val="21"/>
                <w:highlight w:val="none"/>
                <w:vertAlign w:val="baseline"/>
                <w:lang w:val="en-US" w:eastAsia="zh-CN"/>
              </w:rPr>
              <w:t>800</w:t>
            </w:r>
            <w:r>
              <w:rPr>
                <w:rFonts w:hint="eastAsia" w:ascii="宋体" w:hAnsi="宋体" w:eastAsia="宋体" w:cs="宋体"/>
                <w:sz w:val="21"/>
                <w:szCs w:val="21"/>
                <w:vertAlign w:val="baseline"/>
                <w:lang w:val="en-US" w:eastAsia="zh-CN"/>
              </w:rPr>
              <w:t>KW,蒸发器进出口温度1</w:t>
            </w:r>
            <w:r>
              <w:rPr>
                <w:rFonts w:hint="eastAsia" w:ascii="宋体" w:hAnsi="宋体" w:cs="宋体"/>
                <w:sz w:val="21"/>
                <w:szCs w:val="21"/>
                <w:vertAlign w:val="baseline"/>
                <w:lang w:val="en-US" w:eastAsia="zh-CN"/>
              </w:rPr>
              <w:t>9</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7</w:t>
            </w:r>
            <w:r>
              <w:rPr>
                <w:rFonts w:hint="eastAsia" w:ascii="宋体" w:hAnsi="宋体" w:eastAsia="宋体" w:cs="宋体"/>
                <w:sz w:val="21"/>
                <w:szCs w:val="21"/>
                <w:vertAlign w:val="baseline"/>
                <w:lang w:val="en-US" w:eastAsia="zh-CN"/>
              </w:rPr>
              <w:t>℃；冷凝器进出口温度35/45℃</w:t>
            </w:r>
          </w:p>
        </w:tc>
        <w:tc>
          <w:tcPr>
            <w:tcW w:w="5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c>
          <w:tcPr>
            <w:tcW w:w="168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4400x2540x3000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10</w:t>
            </w:r>
          </w:p>
        </w:tc>
        <w:tc>
          <w:tcPr>
            <w:tcW w:w="230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二</w:t>
            </w:r>
            <w:r>
              <w:rPr>
                <w:rFonts w:hint="eastAsia" w:ascii="宋体" w:hAnsi="宋体" w:eastAsia="宋体" w:cs="宋体"/>
                <w:sz w:val="21"/>
                <w:szCs w:val="21"/>
                <w:vertAlign w:val="baseline"/>
                <w:lang w:val="en-US" w:eastAsia="zh-CN"/>
              </w:rPr>
              <w:t>期</w:t>
            </w: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lang w:val="en-US" w:eastAsia="zh-CN"/>
              </w:rPr>
              <w:t>地块热力站</w:t>
            </w:r>
          </w:p>
        </w:tc>
        <w:tc>
          <w:tcPr>
            <w:tcW w:w="4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换热量</w:t>
            </w:r>
            <w:r>
              <w:rPr>
                <w:rFonts w:hint="eastAsia" w:ascii="宋体" w:hAnsi="宋体" w:cs="宋体"/>
                <w:sz w:val="21"/>
                <w:szCs w:val="21"/>
                <w:vertAlign w:val="baseline"/>
                <w:lang w:val="en-US" w:eastAsia="zh-CN"/>
              </w:rPr>
              <w:t>3600</w:t>
            </w:r>
            <w:r>
              <w:rPr>
                <w:rFonts w:hint="eastAsia" w:ascii="宋体" w:hAnsi="宋体" w:eastAsia="宋体" w:cs="宋体"/>
                <w:sz w:val="21"/>
                <w:szCs w:val="21"/>
                <w:vertAlign w:val="baseline"/>
                <w:lang w:val="en-US" w:eastAsia="zh-CN"/>
              </w:rPr>
              <w:t>KW,电功率</w:t>
            </w:r>
            <w:r>
              <w:rPr>
                <w:rFonts w:hint="eastAsia" w:ascii="宋体" w:hAnsi="宋体" w:cs="宋体"/>
                <w:sz w:val="21"/>
                <w:szCs w:val="21"/>
                <w:highlight w:val="none"/>
                <w:vertAlign w:val="baseline"/>
                <w:lang w:val="en-US" w:eastAsia="zh-CN"/>
              </w:rPr>
              <w:t>600</w:t>
            </w:r>
            <w:r>
              <w:rPr>
                <w:rFonts w:hint="eastAsia" w:ascii="宋体" w:hAnsi="宋体" w:eastAsia="宋体" w:cs="宋体"/>
                <w:sz w:val="21"/>
                <w:szCs w:val="21"/>
                <w:vertAlign w:val="baseline"/>
                <w:lang w:val="en-US" w:eastAsia="zh-CN"/>
              </w:rPr>
              <w:t>KW,蒸发器进出口温度1</w:t>
            </w:r>
            <w:r>
              <w:rPr>
                <w:rFonts w:hint="eastAsia" w:ascii="宋体" w:hAnsi="宋体" w:cs="宋体"/>
                <w:sz w:val="21"/>
                <w:szCs w:val="21"/>
                <w:vertAlign w:val="baseline"/>
                <w:lang w:val="en-US" w:eastAsia="zh-CN"/>
              </w:rPr>
              <w:t>9</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7</w:t>
            </w:r>
            <w:r>
              <w:rPr>
                <w:rFonts w:hint="eastAsia" w:ascii="宋体" w:hAnsi="宋体" w:eastAsia="宋体" w:cs="宋体"/>
                <w:sz w:val="21"/>
                <w:szCs w:val="21"/>
                <w:vertAlign w:val="baseline"/>
                <w:lang w:val="en-US" w:eastAsia="zh-CN"/>
              </w:rPr>
              <w:t>℃；冷凝器进出口温度35/45℃</w:t>
            </w:r>
          </w:p>
        </w:tc>
        <w:tc>
          <w:tcPr>
            <w:tcW w:w="5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c>
          <w:tcPr>
            <w:tcW w:w="168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4400x2540x3000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11</w:t>
            </w:r>
          </w:p>
        </w:tc>
        <w:tc>
          <w:tcPr>
            <w:tcW w:w="230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二</w:t>
            </w:r>
            <w:r>
              <w:rPr>
                <w:rFonts w:hint="eastAsia" w:ascii="宋体" w:hAnsi="宋体" w:eastAsia="宋体" w:cs="宋体"/>
                <w:sz w:val="21"/>
                <w:szCs w:val="21"/>
                <w:vertAlign w:val="baseline"/>
                <w:lang w:val="en-US" w:eastAsia="zh-CN"/>
              </w:rPr>
              <w:t>期</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地块热力站</w:t>
            </w:r>
          </w:p>
        </w:tc>
        <w:tc>
          <w:tcPr>
            <w:tcW w:w="4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换热量</w:t>
            </w:r>
            <w:r>
              <w:rPr>
                <w:rFonts w:hint="eastAsia" w:ascii="宋体" w:hAnsi="宋体" w:cs="宋体"/>
                <w:sz w:val="21"/>
                <w:szCs w:val="21"/>
                <w:vertAlign w:val="baseline"/>
                <w:lang w:val="en-US" w:eastAsia="zh-CN"/>
              </w:rPr>
              <w:t>2600</w:t>
            </w:r>
            <w:r>
              <w:rPr>
                <w:rFonts w:hint="eastAsia" w:ascii="宋体" w:hAnsi="宋体" w:eastAsia="宋体" w:cs="宋体"/>
                <w:sz w:val="21"/>
                <w:szCs w:val="21"/>
                <w:vertAlign w:val="baseline"/>
                <w:lang w:val="en-US" w:eastAsia="zh-CN"/>
              </w:rPr>
              <w:t>KW,电功率</w:t>
            </w:r>
            <w:r>
              <w:rPr>
                <w:rFonts w:hint="eastAsia" w:ascii="宋体" w:hAnsi="宋体" w:cs="宋体"/>
                <w:sz w:val="21"/>
                <w:szCs w:val="21"/>
                <w:highlight w:val="none"/>
                <w:vertAlign w:val="baseline"/>
                <w:lang w:val="en-US" w:eastAsia="zh-CN"/>
              </w:rPr>
              <w:t>450</w:t>
            </w:r>
            <w:r>
              <w:rPr>
                <w:rFonts w:hint="eastAsia" w:ascii="宋体" w:hAnsi="宋体" w:eastAsia="宋体" w:cs="宋体"/>
                <w:sz w:val="21"/>
                <w:szCs w:val="21"/>
                <w:vertAlign w:val="baseline"/>
                <w:lang w:val="en-US" w:eastAsia="zh-CN"/>
              </w:rPr>
              <w:t>KW,蒸发器进出口温度1</w:t>
            </w:r>
            <w:r>
              <w:rPr>
                <w:rFonts w:hint="eastAsia" w:ascii="宋体" w:hAnsi="宋体" w:cs="宋体"/>
                <w:sz w:val="21"/>
                <w:szCs w:val="21"/>
                <w:vertAlign w:val="baseline"/>
                <w:lang w:val="en-US" w:eastAsia="zh-CN"/>
              </w:rPr>
              <w:t>9</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7</w:t>
            </w:r>
            <w:r>
              <w:rPr>
                <w:rFonts w:hint="eastAsia" w:ascii="宋体" w:hAnsi="宋体" w:eastAsia="宋体" w:cs="宋体"/>
                <w:sz w:val="21"/>
                <w:szCs w:val="21"/>
                <w:vertAlign w:val="baseline"/>
                <w:lang w:val="en-US" w:eastAsia="zh-CN"/>
              </w:rPr>
              <w:t>℃；冷凝器进出口温度35/45℃</w:t>
            </w:r>
          </w:p>
        </w:tc>
        <w:tc>
          <w:tcPr>
            <w:tcW w:w="5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c>
          <w:tcPr>
            <w:tcW w:w="168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3500x2000x3000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12</w:t>
            </w:r>
          </w:p>
        </w:tc>
        <w:tc>
          <w:tcPr>
            <w:tcW w:w="230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二</w:t>
            </w:r>
            <w:r>
              <w:rPr>
                <w:rFonts w:hint="eastAsia" w:ascii="宋体" w:hAnsi="宋体" w:eastAsia="宋体" w:cs="宋体"/>
                <w:sz w:val="21"/>
                <w:szCs w:val="21"/>
                <w:vertAlign w:val="baseline"/>
                <w:lang w:val="en-US" w:eastAsia="zh-CN"/>
              </w:rPr>
              <w:t>期</w:t>
            </w: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地块热力站</w:t>
            </w:r>
          </w:p>
        </w:tc>
        <w:tc>
          <w:tcPr>
            <w:tcW w:w="4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换热量</w:t>
            </w:r>
            <w:r>
              <w:rPr>
                <w:rFonts w:hint="eastAsia" w:ascii="宋体" w:hAnsi="宋体" w:cs="宋体"/>
                <w:sz w:val="21"/>
                <w:szCs w:val="21"/>
                <w:vertAlign w:val="baseline"/>
                <w:lang w:val="en-US" w:eastAsia="zh-CN"/>
              </w:rPr>
              <w:t>4700</w:t>
            </w:r>
            <w:r>
              <w:rPr>
                <w:rFonts w:hint="eastAsia" w:ascii="宋体" w:hAnsi="宋体" w:eastAsia="宋体" w:cs="宋体"/>
                <w:sz w:val="21"/>
                <w:szCs w:val="21"/>
                <w:vertAlign w:val="baseline"/>
                <w:lang w:val="en-US" w:eastAsia="zh-CN"/>
              </w:rPr>
              <w:t>KW,电功率</w:t>
            </w:r>
            <w:r>
              <w:rPr>
                <w:rFonts w:hint="eastAsia" w:ascii="宋体" w:hAnsi="宋体" w:cs="宋体"/>
                <w:sz w:val="21"/>
                <w:szCs w:val="21"/>
                <w:highlight w:val="none"/>
                <w:vertAlign w:val="baseline"/>
                <w:lang w:val="en-US" w:eastAsia="zh-CN"/>
              </w:rPr>
              <w:t>770</w:t>
            </w:r>
            <w:r>
              <w:rPr>
                <w:rFonts w:hint="eastAsia" w:ascii="宋体" w:hAnsi="宋体" w:eastAsia="宋体" w:cs="宋体"/>
                <w:sz w:val="21"/>
                <w:szCs w:val="21"/>
                <w:vertAlign w:val="baseline"/>
                <w:lang w:val="en-US" w:eastAsia="zh-CN"/>
              </w:rPr>
              <w:t>KW,蒸发器进出口温度1</w:t>
            </w:r>
            <w:r>
              <w:rPr>
                <w:rFonts w:hint="eastAsia" w:ascii="宋体" w:hAnsi="宋体" w:cs="宋体"/>
                <w:sz w:val="21"/>
                <w:szCs w:val="21"/>
                <w:vertAlign w:val="baseline"/>
                <w:lang w:val="en-US" w:eastAsia="zh-CN"/>
              </w:rPr>
              <w:t>9</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7</w:t>
            </w:r>
            <w:r>
              <w:rPr>
                <w:rFonts w:hint="eastAsia" w:ascii="宋体" w:hAnsi="宋体" w:eastAsia="宋体" w:cs="宋体"/>
                <w:sz w:val="21"/>
                <w:szCs w:val="21"/>
                <w:vertAlign w:val="baseline"/>
                <w:lang w:val="en-US" w:eastAsia="zh-CN"/>
              </w:rPr>
              <w:t>℃；冷凝器进出口温度35/45℃</w:t>
            </w:r>
          </w:p>
        </w:tc>
        <w:tc>
          <w:tcPr>
            <w:tcW w:w="5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c>
          <w:tcPr>
            <w:tcW w:w="168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4400x2540x3000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13</w:t>
            </w:r>
          </w:p>
        </w:tc>
        <w:tc>
          <w:tcPr>
            <w:tcW w:w="2309" w:type="dxa"/>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二期E热力站</w:t>
            </w:r>
            <w:r>
              <w:rPr>
                <w:rFonts w:hint="eastAsia" w:ascii="宋体" w:hAnsi="宋体" w:cs="宋体"/>
                <w:sz w:val="21"/>
                <w:szCs w:val="21"/>
                <w:vertAlign w:val="baseline"/>
                <w:lang w:val="en-US" w:eastAsia="zh-CN"/>
              </w:rPr>
              <w:t>低区</w:t>
            </w:r>
          </w:p>
        </w:tc>
        <w:tc>
          <w:tcPr>
            <w:tcW w:w="479" w:type="dxa"/>
            <w:vAlign w:val="center"/>
          </w:tcPr>
          <w:p>
            <w:pPr>
              <w:spacing w:line="500" w:lineRule="exact"/>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换热量</w:t>
            </w:r>
            <w:r>
              <w:rPr>
                <w:rFonts w:hint="eastAsia" w:ascii="宋体" w:hAnsi="宋体" w:cs="宋体"/>
                <w:sz w:val="21"/>
                <w:szCs w:val="21"/>
                <w:vertAlign w:val="baseline"/>
                <w:lang w:val="en-US" w:eastAsia="zh-CN"/>
              </w:rPr>
              <w:t>1934</w:t>
            </w:r>
            <w:r>
              <w:rPr>
                <w:rFonts w:hint="eastAsia" w:ascii="宋体" w:hAnsi="宋体" w:eastAsia="宋体" w:cs="宋体"/>
                <w:sz w:val="21"/>
                <w:szCs w:val="21"/>
                <w:vertAlign w:val="baseline"/>
                <w:lang w:val="en-US" w:eastAsia="zh-CN"/>
              </w:rPr>
              <w:t>KW,电功率</w:t>
            </w:r>
            <w:r>
              <w:rPr>
                <w:rFonts w:hint="eastAsia" w:ascii="宋体" w:hAnsi="宋体" w:cs="宋体"/>
                <w:sz w:val="21"/>
                <w:szCs w:val="21"/>
                <w:highlight w:val="none"/>
                <w:vertAlign w:val="baseline"/>
                <w:lang w:val="en-US" w:eastAsia="zh-CN"/>
              </w:rPr>
              <w:t>324.7</w:t>
            </w:r>
            <w:r>
              <w:rPr>
                <w:rFonts w:hint="eastAsia" w:ascii="宋体" w:hAnsi="宋体" w:eastAsia="宋体" w:cs="宋体"/>
                <w:sz w:val="21"/>
                <w:szCs w:val="21"/>
                <w:vertAlign w:val="baseline"/>
                <w:lang w:val="en-US" w:eastAsia="zh-CN"/>
              </w:rPr>
              <w:t>KW,蒸发器进出口温度1</w:t>
            </w: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℃；冷凝器进出口温度35/45℃</w:t>
            </w:r>
          </w:p>
        </w:tc>
        <w:tc>
          <w:tcPr>
            <w:tcW w:w="5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2</w:t>
            </w:r>
          </w:p>
        </w:tc>
        <w:tc>
          <w:tcPr>
            <w:tcW w:w="168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4000x2700x3000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bookmarkStart w:id="151" w:name="_Toc441053366"/>
            <w:r>
              <w:rPr>
                <w:rFonts w:hint="eastAsia" w:ascii="宋体" w:hAnsi="宋体" w:cs="宋体"/>
                <w:sz w:val="21"/>
                <w:szCs w:val="21"/>
                <w:vertAlign w:val="baseline"/>
                <w:lang w:val="en-US" w:eastAsia="zh-CN"/>
              </w:rPr>
              <w:t>14</w:t>
            </w:r>
          </w:p>
        </w:tc>
        <w:tc>
          <w:tcPr>
            <w:tcW w:w="230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二期E热力站</w:t>
            </w:r>
            <w:r>
              <w:rPr>
                <w:rFonts w:hint="eastAsia" w:ascii="宋体" w:hAnsi="宋体" w:cs="宋体"/>
                <w:sz w:val="21"/>
                <w:szCs w:val="21"/>
                <w:vertAlign w:val="baseline"/>
                <w:lang w:val="en-US" w:eastAsia="zh-CN"/>
              </w:rPr>
              <w:t>高区</w:t>
            </w:r>
          </w:p>
        </w:tc>
        <w:tc>
          <w:tcPr>
            <w:tcW w:w="4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套</w:t>
            </w:r>
          </w:p>
        </w:tc>
        <w:tc>
          <w:tcPr>
            <w:tcW w:w="2995"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换热量</w:t>
            </w:r>
            <w:r>
              <w:rPr>
                <w:rFonts w:hint="eastAsia" w:ascii="宋体" w:hAnsi="宋体" w:cs="宋体"/>
                <w:sz w:val="21"/>
                <w:szCs w:val="21"/>
                <w:vertAlign w:val="baseline"/>
                <w:lang w:val="en-US" w:eastAsia="zh-CN"/>
              </w:rPr>
              <w:t>1231</w:t>
            </w:r>
            <w:r>
              <w:rPr>
                <w:rFonts w:hint="eastAsia" w:ascii="宋体" w:hAnsi="宋体" w:eastAsia="宋体" w:cs="宋体"/>
                <w:sz w:val="21"/>
                <w:szCs w:val="21"/>
                <w:vertAlign w:val="baseline"/>
                <w:lang w:val="en-US" w:eastAsia="zh-CN"/>
              </w:rPr>
              <w:t>KW,电功率</w:t>
            </w:r>
            <w:r>
              <w:rPr>
                <w:rFonts w:hint="eastAsia" w:ascii="宋体" w:hAnsi="宋体" w:cs="宋体"/>
                <w:sz w:val="21"/>
                <w:szCs w:val="21"/>
                <w:highlight w:val="none"/>
                <w:vertAlign w:val="baseline"/>
                <w:lang w:val="en-US" w:eastAsia="zh-CN"/>
              </w:rPr>
              <w:t>208.3</w:t>
            </w:r>
            <w:r>
              <w:rPr>
                <w:rFonts w:hint="eastAsia" w:ascii="宋体" w:hAnsi="宋体" w:eastAsia="宋体" w:cs="宋体"/>
                <w:sz w:val="21"/>
                <w:szCs w:val="21"/>
                <w:vertAlign w:val="baseline"/>
                <w:lang w:val="en-US" w:eastAsia="zh-CN"/>
              </w:rPr>
              <w:t>KW,蒸发器进出口温度1</w:t>
            </w: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℃；冷凝器进出口温度35/45℃</w:t>
            </w:r>
          </w:p>
        </w:tc>
        <w:tc>
          <w:tcPr>
            <w:tcW w:w="579"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c>
          <w:tcPr>
            <w:tcW w:w="168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4000x2200x3000</w:t>
            </w:r>
          </w:p>
        </w:tc>
      </w:tr>
      <w:bookmarkEnd w:id="150"/>
    </w:tbl>
    <w:p>
      <w:pPr>
        <w:pStyle w:val="39"/>
        <w:keepNext w:val="0"/>
        <w:keepLines w:val="0"/>
        <w:pageBreakBefore w:val="0"/>
        <w:widowControl w:val="0"/>
        <w:numPr>
          <w:ilvl w:val="0"/>
          <w:numId w:val="4"/>
        </w:numPr>
        <w:kinsoku/>
        <w:wordWrap/>
        <w:overflowPunct/>
        <w:topLinePunct w:val="0"/>
        <w:autoSpaceDE/>
        <w:autoSpaceDN/>
        <w:bidi w:val="0"/>
        <w:snapToGrid w:val="0"/>
        <w:spacing w:line="500" w:lineRule="exact"/>
        <w:ind w:left="142" w:firstLine="0" w:firstLineChars="0"/>
        <w:rPr>
          <w:rFonts w:ascii="微软雅黑" w:hAnsi="微软雅黑" w:eastAsia="微软雅黑"/>
          <w:b/>
          <w:sz w:val="24"/>
          <w:szCs w:val="24"/>
        </w:rPr>
      </w:pPr>
      <w:r>
        <w:rPr>
          <w:rFonts w:hint="eastAsia" w:ascii="微软雅黑" w:hAnsi="微软雅黑" w:eastAsia="微软雅黑"/>
          <w:b/>
          <w:sz w:val="24"/>
          <w:szCs w:val="24"/>
        </w:rPr>
        <w:t>技术要求</w:t>
      </w:r>
      <w:bookmarkEnd w:id="151"/>
    </w:p>
    <w:p>
      <w:pPr>
        <w:pStyle w:val="39"/>
        <w:keepNext w:val="0"/>
        <w:keepLines w:val="0"/>
        <w:pageBreakBefore w:val="0"/>
        <w:widowControl w:val="0"/>
        <w:kinsoku/>
        <w:wordWrap/>
        <w:overflowPunct/>
        <w:topLinePunct w:val="0"/>
        <w:autoSpaceDE/>
        <w:autoSpaceDN/>
        <w:bidi w:val="0"/>
        <w:snapToGrid w:val="0"/>
        <w:spacing w:line="500" w:lineRule="exact"/>
        <w:ind w:left="142" w:firstLine="0" w:firstLineChars="0"/>
        <w:rPr>
          <w:rFonts w:ascii="微软雅黑" w:hAnsi="微软雅黑" w:eastAsia="微软雅黑"/>
          <w:b/>
          <w:sz w:val="24"/>
          <w:szCs w:val="24"/>
        </w:rPr>
      </w:pPr>
      <w:bookmarkStart w:id="152" w:name="_Toc441053367"/>
      <w:r>
        <w:rPr>
          <w:rFonts w:hint="eastAsia" w:ascii="微软雅黑" w:hAnsi="微软雅黑" w:eastAsia="微软雅黑"/>
          <w:b/>
          <w:sz w:val="24"/>
          <w:szCs w:val="24"/>
        </w:rPr>
        <w:t>2.1总体要求</w:t>
      </w:r>
      <w:bookmarkEnd w:id="152"/>
    </w:p>
    <w:p>
      <w:pPr>
        <w:pStyle w:val="39"/>
        <w:keepNext w:val="0"/>
        <w:keepLines w:val="0"/>
        <w:pageBreakBefore w:val="0"/>
        <w:widowControl w:val="0"/>
        <w:numPr>
          <w:ilvl w:val="0"/>
          <w:numId w:val="5"/>
        </w:numPr>
        <w:kinsoku/>
        <w:wordWrap/>
        <w:overflowPunct/>
        <w:topLinePunct w:val="0"/>
        <w:autoSpaceDE/>
        <w:autoSpaceDN/>
        <w:bidi w:val="0"/>
        <w:snapToGrid w:val="0"/>
        <w:spacing w:line="500" w:lineRule="exact"/>
        <w:ind w:firstLineChars="0"/>
        <w:rPr>
          <w:rFonts w:ascii="微软雅黑" w:hAnsi="微软雅黑" w:eastAsia="微软雅黑"/>
          <w:sz w:val="24"/>
          <w:szCs w:val="24"/>
        </w:rPr>
      </w:pPr>
      <w:r>
        <w:rPr>
          <w:rFonts w:hint="eastAsia" w:ascii="微软雅黑" w:hAnsi="微软雅黑" w:eastAsia="微软雅黑"/>
          <w:sz w:val="24"/>
          <w:szCs w:val="24"/>
        </w:rPr>
        <w:t>机组及其附件的设计以及用于它的制作材料应由制造商推荐，除非招标方另有规定。其设计、制造、喷涂、检验和包装应符合国家标准，如没有相应的国家标准，可采用经招标方认可的制造厂家标准。</w:t>
      </w:r>
    </w:p>
    <w:p>
      <w:pPr>
        <w:pStyle w:val="39"/>
        <w:keepNext w:val="0"/>
        <w:keepLines w:val="0"/>
        <w:pageBreakBefore w:val="0"/>
        <w:widowControl w:val="0"/>
        <w:numPr>
          <w:ilvl w:val="0"/>
          <w:numId w:val="5"/>
        </w:numPr>
        <w:kinsoku/>
        <w:wordWrap/>
        <w:overflowPunct/>
        <w:topLinePunct w:val="0"/>
        <w:autoSpaceDE/>
        <w:autoSpaceDN/>
        <w:bidi w:val="0"/>
        <w:snapToGrid w:val="0"/>
        <w:spacing w:line="500" w:lineRule="exact"/>
        <w:ind w:firstLineChars="0"/>
        <w:rPr>
          <w:rFonts w:ascii="微软雅黑" w:hAnsi="微软雅黑" w:eastAsia="微软雅黑"/>
          <w:sz w:val="24"/>
          <w:szCs w:val="24"/>
        </w:rPr>
      </w:pPr>
      <w:r>
        <w:rPr>
          <w:rFonts w:hint="eastAsia" w:ascii="微软雅黑" w:hAnsi="微软雅黑" w:eastAsia="微软雅黑"/>
          <w:sz w:val="24"/>
          <w:szCs w:val="24"/>
        </w:rPr>
        <w:t>设备应整体供货，供货设备应在工厂内组装成整体并预先进行调试试验合格。</w:t>
      </w:r>
    </w:p>
    <w:p>
      <w:pPr>
        <w:pStyle w:val="39"/>
        <w:keepNext w:val="0"/>
        <w:keepLines w:val="0"/>
        <w:pageBreakBefore w:val="0"/>
        <w:widowControl w:val="0"/>
        <w:numPr>
          <w:ilvl w:val="0"/>
          <w:numId w:val="5"/>
        </w:numPr>
        <w:kinsoku/>
        <w:wordWrap/>
        <w:overflowPunct/>
        <w:topLinePunct w:val="0"/>
        <w:autoSpaceDE/>
        <w:autoSpaceDN/>
        <w:bidi w:val="0"/>
        <w:snapToGrid w:val="0"/>
        <w:spacing w:line="500" w:lineRule="exact"/>
        <w:ind w:firstLineChars="0"/>
        <w:rPr>
          <w:rFonts w:ascii="微软雅黑" w:hAnsi="微软雅黑" w:eastAsia="微软雅黑"/>
          <w:sz w:val="24"/>
          <w:szCs w:val="24"/>
        </w:rPr>
      </w:pPr>
      <w:r>
        <w:rPr>
          <w:rFonts w:hint="eastAsia" w:ascii="微软雅黑" w:hAnsi="微软雅黑" w:eastAsia="微软雅黑"/>
          <w:sz w:val="24"/>
          <w:szCs w:val="24"/>
        </w:rPr>
        <w:t>除了轴承、密封圈及转动部件可能在正常寿命期间更换外，其余的材料和部件应在正常情况下承诺运行二十年。</w:t>
      </w:r>
    </w:p>
    <w:p>
      <w:pPr>
        <w:pStyle w:val="39"/>
        <w:keepNext w:val="0"/>
        <w:keepLines w:val="0"/>
        <w:pageBreakBefore w:val="0"/>
        <w:widowControl w:val="0"/>
        <w:numPr>
          <w:ilvl w:val="0"/>
          <w:numId w:val="5"/>
        </w:numPr>
        <w:kinsoku/>
        <w:wordWrap/>
        <w:overflowPunct/>
        <w:topLinePunct w:val="0"/>
        <w:autoSpaceDE/>
        <w:autoSpaceDN/>
        <w:bidi w:val="0"/>
        <w:snapToGrid w:val="0"/>
        <w:spacing w:line="500" w:lineRule="exact"/>
        <w:ind w:firstLineChars="0"/>
        <w:rPr>
          <w:rFonts w:ascii="微软雅黑" w:hAnsi="微软雅黑" w:eastAsia="微软雅黑"/>
          <w:sz w:val="24"/>
          <w:szCs w:val="24"/>
        </w:rPr>
      </w:pPr>
      <w:r>
        <w:rPr>
          <w:rFonts w:hint="eastAsia" w:ascii="微软雅黑" w:hAnsi="微软雅黑" w:eastAsia="微软雅黑"/>
          <w:sz w:val="24"/>
          <w:szCs w:val="24"/>
        </w:rPr>
        <w:t>机组应在环境温度不低于0℃、不超过45℃、相对湿度不超过</w:t>
      </w:r>
      <w:r>
        <w:rPr>
          <w:rFonts w:ascii="微软雅黑" w:hAnsi="微软雅黑" w:eastAsia="微软雅黑"/>
          <w:sz w:val="24"/>
          <w:szCs w:val="24"/>
        </w:rPr>
        <w:t>85</w:t>
      </w:r>
      <w:r>
        <w:rPr>
          <w:rFonts w:hint="eastAsia" w:ascii="微软雅黑" w:hAnsi="微软雅黑" w:eastAsia="微软雅黑"/>
          <w:sz w:val="24"/>
          <w:szCs w:val="24"/>
        </w:rPr>
        <w:t>%的条件下正常运行。</w:t>
      </w:r>
    </w:p>
    <w:p>
      <w:pPr>
        <w:pStyle w:val="39"/>
        <w:keepNext w:val="0"/>
        <w:keepLines w:val="0"/>
        <w:pageBreakBefore w:val="0"/>
        <w:widowControl w:val="0"/>
        <w:numPr>
          <w:ilvl w:val="0"/>
          <w:numId w:val="5"/>
        </w:numPr>
        <w:kinsoku/>
        <w:wordWrap/>
        <w:overflowPunct/>
        <w:topLinePunct w:val="0"/>
        <w:autoSpaceDE/>
        <w:autoSpaceDN/>
        <w:bidi w:val="0"/>
        <w:snapToGrid w:val="0"/>
        <w:spacing w:line="500" w:lineRule="exact"/>
        <w:ind w:firstLineChars="0"/>
        <w:rPr>
          <w:rFonts w:ascii="微软雅黑" w:hAnsi="微软雅黑" w:eastAsia="微软雅黑"/>
          <w:sz w:val="24"/>
          <w:szCs w:val="24"/>
        </w:rPr>
      </w:pPr>
      <w:r>
        <w:rPr>
          <w:rFonts w:hint="eastAsia" w:ascii="微软雅黑" w:hAnsi="微软雅黑" w:eastAsia="微软雅黑"/>
          <w:sz w:val="24"/>
          <w:szCs w:val="24"/>
        </w:rPr>
        <w:t>制冷剂蒸发器和冷凝器上必须设有安全阀等压力安全释放装置。</w:t>
      </w:r>
    </w:p>
    <w:p>
      <w:pPr>
        <w:pStyle w:val="39"/>
        <w:keepNext w:val="0"/>
        <w:keepLines w:val="0"/>
        <w:pageBreakBefore w:val="0"/>
        <w:widowControl w:val="0"/>
        <w:numPr>
          <w:ilvl w:val="0"/>
          <w:numId w:val="5"/>
        </w:numPr>
        <w:kinsoku/>
        <w:wordWrap/>
        <w:overflowPunct/>
        <w:topLinePunct w:val="0"/>
        <w:autoSpaceDE/>
        <w:autoSpaceDN/>
        <w:bidi w:val="0"/>
        <w:snapToGrid w:val="0"/>
        <w:spacing w:line="500" w:lineRule="exact"/>
        <w:ind w:firstLineChars="0"/>
        <w:rPr>
          <w:rFonts w:ascii="微软雅黑" w:hAnsi="微软雅黑" w:eastAsia="微软雅黑"/>
          <w:sz w:val="24"/>
          <w:szCs w:val="24"/>
        </w:rPr>
      </w:pPr>
      <w:r>
        <w:rPr>
          <w:rFonts w:hint="eastAsia" w:ascii="微软雅黑" w:hAnsi="微软雅黑" w:eastAsia="微软雅黑"/>
          <w:sz w:val="24"/>
          <w:szCs w:val="24"/>
        </w:rPr>
        <w:t>机组应为制造商自己生产制造的产品，并能提供完整的设计、安装和性能资料及图纸。</w:t>
      </w:r>
    </w:p>
    <w:p>
      <w:pPr>
        <w:pStyle w:val="39"/>
        <w:keepNext w:val="0"/>
        <w:keepLines w:val="0"/>
        <w:pageBreakBefore w:val="0"/>
        <w:widowControl w:val="0"/>
        <w:numPr>
          <w:ilvl w:val="0"/>
          <w:numId w:val="5"/>
        </w:numPr>
        <w:kinsoku/>
        <w:wordWrap/>
        <w:overflowPunct/>
        <w:topLinePunct w:val="0"/>
        <w:autoSpaceDE/>
        <w:autoSpaceDN/>
        <w:bidi w:val="0"/>
        <w:snapToGrid w:val="0"/>
        <w:spacing w:line="500" w:lineRule="exact"/>
        <w:ind w:firstLineChars="0"/>
        <w:rPr>
          <w:rFonts w:ascii="微软雅黑" w:hAnsi="微软雅黑" w:eastAsia="微软雅黑"/>
          <w:sz w:val="24"/>
          <w:szCs w:val="24"/>
        </w:rPr>
      </w:pPr>
      <w:r>
        <w:rPr>
          <w:rFonts w:hint="eastAsia" w:ascii="微软雅黑" w:hAnsi="微软雅黑" w:eastAsia="微软雅黑"/>
          <w:sz w:val="24"/>
          <w:szCs w:val="24"/>
        </w:rPr>
        <w:t>热泵机组单元应在工厂内组装成整体并预先进行调试试验。机组应包括蒸发器、冷凝器、压缩机（含电动机）、电动机冷却系统、润滑油系统（含油冷却器）、机组内部制冷剂管路系统、出厂前在工厂充注润滑油和制冷剂（也可充注氮气保压，现场充注润滑油及制冷剂）、保温及消声减震附件、控制系统及启动柜、机组内部控制及动力接线以及满足机组运行必需的附件及监测仪表。</w:t>
      </w:r>
    </w:p>
    <w:p>
      <w:pPr>
        <w:pStyle w:val="39"/>
        <w:keepNext w:val="0"/>
        <w:keepLines w:val="0"/>
        <w:pageBreakBefore w:val="0"/>
        <w:widowControl w:val="0"/>
        <w:kinsoku/>
        <w:wordWrap/>
        <w:overflowPunct/>
        <w:topLinePunct w:val="0"/>
        <w:autoSpaceDE/>
        <w:autoSpaceDN/>
        <w:bidi w:val="0"/>
        <w:snapToGrid w:val="0"/>
        <w:spacing w:line="500" w:lineRule="exact"/>
        <w:ind w:left="142" w:firstLine="0" w:firstLineChars="0"/>
        <w:rPr>
          <w:rFonts w:ascii="微软雅黑" w:hAnsi="微软雅黑" w:eastAsia="微软雅黑"/>
          <w:b/>
          <w:sz w:val="24"/>
          <w:szCs w:val="24"/>
        </w:rPr>
      </w:pPr>
      <w:bookmarkStart w:id="153" w:name="_Toc441053368"/>
      <w:r>
        <w:rPr>
          <w:rFonts w:hint="eastAsia" w:ascii="微软雅黑" w:hAnsi="微软雅黑" w:eastAsia="微软雅黑"/>
          <w:b/>
          <w:sz w:val="24"/>
          <w:szCs w:val="24"/>
        </w:rPr>
        <w:t>2.2热泵机组主要部件要求</w:t>
      </w:r>
      <w:bookmarkEnd w:id="153"/>
    </w:p>
    <w:p>
      <w:pPr>
        <w:keepNext w:val="0"/>
        <w:keepLines w:val="0"/>
        <w:pageBreakBefore w:val="0"/>
        <w:widowControl w:val="0"/>
        <w:kinsoku/>
        <w:wordWrap/>
        <w:overflowPunct/>
        <w:topLinePunct w:val="0"/>
        <w:autoSpaceDE/>
        <w:autoSpaceDN/>
        <w:bidi w:val="0"/>
        <w:snapToGrid w:val="0"/>
        <w:spacing w:line="500" w:lineRule="exact"/>
        <w:rPr>
          <w:rFonts w:ascii="微软雅黑" w:hAnsi="微软雅黑" w:eastAsia="微软雅黑"/>
          <w:sz w:val="24"/>
        </w:rPr>
      </w:pPr>
      <w:r>
        <w:rPr>
          <w:rFonts w:hint="eastAsia" w:ascii="微软雅黑" w:hAnsi="微软雅黑" w:eastAsia="微软雅黑"/>
          <w:sz w:val="24"/>
        </w:rPr>
        <w:t>（1）热泵机组</w:t>
      </w:r>
    </w:p>
    <w:p>
      <w:pPr>
        <w:keepNext w:val="0"/>
        <w:keepLines w:val="0"/>
        <w:pageBreakBefore w:val="0"/>
        <w:widowControl w:val="0"/>
        <w:numPr>
          <w:ilvl w:val="0"/>
          <w:numId w:val="6"/>
        </w:numPr>
        <w:tabs>
          <w:tab w:val="left" w:pos="709"/>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热泵机组应采用国际或国内一线品牌。</w:t>
      </w:r>
    </w:p>
    <w:p>
      <w:pPr>
        <w:keepNext w:val="0"/>
        <w:keepLines w:val="0"/>
        <w:pageBreakBefore w:val="0"/>
        <w:widowControl w:val="0"/>
        <w:numPr>
          <w:ilvl w:val="0"/>
          <w:numId w:val="6"/>
        </w:numPr>
        <w:tabs>
          <w:tab w:val="left" w:pos="709"/>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制冷剂应为不破坏臭氧层的环保制冷剂，如R134a。</w:t>
      </w:r>
    </w:p>
    <w:p>
      <w:pPr>
        <w:keepNext w:val="0"/>
        <w:keepLines w:val="0"/>
        <w:pageBreakBefore w:val="0"/>
        <w:widowControl w:val="0"/>
        <w:numPr>
          <w:ilvl w:val="0"/>
          <w:numId w:val="6"/>
        </w:numPr>
        <w:tabs>
          <w:tab w:val="left" w:pos="709"/>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机组应</w:t>
      </w:r>
      <w:r>
        <w:rPr>
          <w:rFonts w:ascii="微软雅黑" w:hAnsi="微软雅黑" w:eastAsia="微软雅黑"/>
          <w:sz w:val="24"/>
        </w:rPr>
        <w:t>具有</w:t>
      </w:r>
      <w:r>
        <w:rPr>
          <w:rFonts w:hint="eastAsia" w:ascii="微软雅黑" w:hAnsi="微软雅黑" w:eastAsia="微软雅黑"/>
          <w:sz w:val="24"/>
        </w:rPr>
        <w:t>蒸发器</w:t>
      </w:r>
      <w:r>
        <w:rPr>
          <w:rFonts w:ascii="微软雅黑" w:hAnsi="微软雅黑" w:eastAsia="微软雅黑"/>
          <w:sz w:val="24"/>
        </w:rPr>
        <w:t>欠流量保护功能</w:t>
      </w:r>
      <w:r>
        <w:rPr>
          <w:rFonts w:hint="eastAsia" w:ascii="微软雅黑" w:hAnsi="微软雅黑" w:eastAsia="微软雅黑"/>
          <w:sz w:val="24"/>
        </w:rPr>
        <w:t>，防止热源水流量过低而引发故障。</w:t>
      </w:r>
    </w:p>
    <w:p>
      <w:pPr>
        <w:keepNext w:val="0"/>
        <w:keepLines w:val="0"/>
        <w:pageBreakBefore w:val="0"/>
        <w:widowControl w:val="0"/>
        <w:numPr>
          <w:ilvl w:val="0"/>
          <w:numId w:val="6"/>
        </w:numPr>
        <w:tabs>
          <w:tab w:val="left" w:pos="709"/>
        </w:tabs>
        <w:kinsoku/>
        <w:wordWrap/>
        <w:overflowPunct/>
        <w:topLinePunct w:val="0"/>
        <w:autoSpaceDE/>
        <w:autoSpaceDN/>
        <w:bidi w:val="0"/>
        <w:snapToGrid w:val="0"/>
        <w:spacing w:line="500" w:lineRule="exact"/>
        <w:ind w:left="426"/>
        <w:rPr>
          <w:rFonts w:ascii="微软雅黑" w:hAnsi="微软雅黑" w:eastAsia="微软雅黑"/>
          <w:color w:val="000000" w:themeColor="text1"/>
          <w:sz w:val="24"/>
          <w14:textFill>
            <w14:solidFill>
              <w14:schemeClr w14:val="tx1"/>
            </w14:solidFill>
          </w14:textFill>
        </w:rPr>
      </w:pPr>
      <w:r>
        <w:rPr>
          <w:rFonts w:hint="eastAsia" w:ascii="微软雅黑" w:hAnsi="微软雅黑" w:eastAsia="微软雅黑"/>
          <w:color w:val="000000" w:themeColor="text1"/>
          <w:sz w:val="24"/>
          <w14:textFill>
            <w14:solidFill>
              <w14:schemeClr w14:val="tx1"/>
            </w14:solidFill>
          </w14:textFill>
        </w:rPr>
        <w:t>当电源电压偏差为额定值的-10%~+10%时，压缩机应能正常启动和运行。如因启动电流太大而影响压缩机启动时，则需增加保护装置以降低启动电流，避免对电网的冲击，增强电网的安全性。</w:t>
      </w:r>
    </w:p>
    <w:p>
      <w:pPr>
        <w:keepNext w:val="0"/>
        <w:keepLines w:val="0"/>
        <w:pageBreakBefore w:val="0"/>
        <w:widowControl w:val="0"/>
        <w:numPr>
          <w:ilvl w:val="0"/>
          <w:numId w:val="6"/>
        </w:numPr>
        <w:tabs>
          <w:tab w:val="left" w:pos="709"/>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机组应自带控制柜，</w:t>
      </w:r>
      <w:r>
        <w:rPr>
          <w:rFonts w:hint="eastAsia" w:ascii="微软雅黑" w:hAnsi="微软雅黑" w:eastAsia="微软雅黑"/>
          <w:sz w:val="24"/>
          <w:lang w:val="en-US" w:eastAsia="zh-CN"/>
        </w:rPr>
        <w:t>热泵</w:t>
      </w:r>
      <w:r>
        <w:rPr>
          <w:rFonts w:hint="eastAsia" w:ascii="微软雅黑" w:hAnsi="微软雅黑" w:eastAsia="微软雅黑"/>
          <w:sz w:val="24"/>
        </w:rPr>
        <w:t>采用PLC控制，</w:t>
      </w:r>
      <w:r>
        <w:rPr>
          <w:rFonts w:ascii="微软雅黑" w:hAnsi="微软雅黑" w:eastAsia="微软雅黑"/>
          <w:sz w:val="24"/>
        </w:rPr>
        <w:t>采用彩色触摸屏人机界面</w:t>
      </w:r>
      <w:r>
        <w:rPr>
          <w:rFonts w:hint="eastAsia" w:ascii="微软雅黑" w:hAnsi="微软雅黑" w:eastAsia="微软雅黑"/>
          <w:sz w:val="24"/>
        </w:rPr>
        <w:t>，</w:t>
      </w:r>
      <w:r>
        <w:rPr>
          <w:rFonts w:ascii="微软雅黑" w:hAnsi="微软雅黑" w:eastAsia="微软雅黑"/>
          <w:sz w:val="24"/>
        </w:rPr>
        <w:t>能直观显示各项运行数据</w:t>
      </w:r>
      <w:r>
        <w:rPr>
          <w:rFonts w:hint="eastAsia" w:ascii="微软雅黑" w:hAnsi="微软雅黑" w:eastAsia="微软雅黑"/>
          <w:sz w:val="24"/>
        </w:rPr>
        <w:t>，触摸屏尺寸不小于1</w:t>
      </w:r>
      <w:r>
        <w:rPr>
          <w:rFonts w:ascii="微软雅黑" w:hAnsi="微软雅黑" w:eastAsia="微软雅黑"/>
          <w:sz w:val="24"/>
        </w:rPr>
        <w:t>0</w:t>
      </w:r>
      <w:r>
        <w:rPr>
          <w:rFonts w:hint="eastAsia" w:ascii="微软雅黑" w:hAnsi="微软雅黑" w:eastAsia="微软雅黑"/>
          <w:sz w:val="24"/>
        </w:rPr>
        <w:t>寸。</w:t>
      </w:r>
    </w:p>
    <w:p>
      <w:pPr>
        <w:keepNext w:val="0"/>
        <w:keepLines w:val="0"/>
        <w:pageBreakBefore w:val="0"/>
        <w:widowControl w:val="0"/>
        <w:numPr>
          <w:ilvl w:val="0"/>
          <w:numId w:val="6"/>
        </w:numPr>
        <w:tabs>
          <w:tab w:val="left" w:pos="709"/>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每台电机应有内置式过载及过热保护装置。</w:t>
      </w:r>
    </w:p>
    <w:p>
      <w:pPr>
        <w:keepNext w:val="0"/>
        <w:keepLines w:val="0"/>
        <w:pageBreakBefore w:val="0"/>
        <w:widowControl w:val="0"/>
        <w:kinsoku/>
        <w:wordWrap/>
        <w:overflowPunct/>
        <w:topLinePunct w:val="0"/>
        <w:autoSpaceDE/>
        <w:autoSpaceDN/>
        <w:bidi w:val="0"/>
        <w:snapToGrid w:val="0"/>
        <w:spacing w:line="500" w:lineRule="exact"/>
        <w:rPr>
          <w:rFonts w:ascii="微软雅黑" w:hAnsi="微软雅黑" w:eastAsia="微软雅黑"/>
          <w:sz w:val="24"/>
        </w:rPr>
      </w:pPr>
      <w:r>
        <w:rPr>
          <w:rFonts w:hint="eastAsia" w:ascii="微软雅黑" w:hAnsi="微软雅黑" w:eastAsia="微软雅黑"/>
          <w:sz w:val="24"/>
        </w:rPr>
        <w:t>(2)  压缩机</w:t>
      </w:r>
    </w:p>
    <w:p>
      <w:pPr>
        <w:keepNext w:val="0"/>
        <w:keepLines w:val="0"/>
        <w:pageBreakBefore w:val="0"/>
        <w:widowControl w:val="0"/>
        <w:numPr>
          <w:ilvl w:val="0"/>
          <w:numId w:val="6"/>
        </w:numPr>
        <w:tabs>
          <w:tab w:val="left" w:pos="993"/>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压缩机应采用自主品牌的高性能离心式压缩机；</w:t>
      </w:r>
    </w:p>
    <w:p>
      <w:pPr>
        <w:keepNext w:val="0"/>
        <w:keepLines w:val="0"/>
        <w:pageBreakBefore w:val="0"/>
        <w:widowControl w:val="0"/>
        <w:numPr>
          <w:ilvl w:val="0"/>
          <w:numId w:val="6"/>
        </w:numPr>
        <w:tabs>
          <w:tab w:val="left" w:pos="993"/>
        </w:tabs>
        <w:kinsoku/>
        <w:wordWrap/>
        <w:overflowPunct/>
        <w:topLinePunct w:val="0"/>
        <w:autoSpaceDE/>
        <w:autoSpaceDN/>
        <w:bidi w:val="0"/>
        <w:snapToGrid w:val="0"/>
        <w:spacing w:line="500" w:lineRule="exact"/>
        <w:ind w:left="426"/>
        <w:rPr>
          <w:rFonts w:ascii="微软雅黑" w:hAnsi="微软雅黑" w:eastAsia="微软雅黑"/>
          <w:sz w:val="24"/>
        </w:rPr>
      </w:pPr>
      <w:bookmarkStart w:id="154" w:name="_Hlk140067525"/>
      <w:r>
        <w:rPr>
          <w:rFonts w:hint="eastAsia" w:ascii="微软雅黑" w:hAnsi="微软雅黑" w:eastAsia="微软雅黑"/>
          <w:sz w:val="24"/>
        </w:rPr>
        <w:t>压缩机容量调节方式为无级调节，调节范围为2</w:t>
      </w:r>
      <w:r>
        <w:rPr>
          <w:rFonts w:ascii="微软雅黑" w:hAnsi="微软雅黑" w:eastAsia="微软雅黑"/>
          <w:sz w:val="24"/>
        </w:rPr>
        <w:t>0~100%</w:t>
      </w:r>
      <w:r>
        <w:rPr>
          <w:rFonts w:hint="eastAsia" w:ascii="微软雅黑" w:hAnsi="微软雅黑" w:eastAsia="微软雅黑"/>
          <w:sz w:val="24"/>
        </w:rPr>
        <w:t>；</w:t>
      </w:r>
    </w:p>
    <w:bookmarkEnd w:id="154"/>
    <w:p>
      <w:pPr>
        <w:keepNext w:val="0"/>
        <w:keepLines w:val="0"/>
        <w:pageBreakBefore w:val="0"/>
        <w:widowControl w:val="0"/>
        <w:numPr>
          <w:ilvl w:val="0"/>
          <w:numId w:val="6"/>
        </w:numPr>
        <w:tabs>
          <w:tab w:val="left" w:pos="993"/>
        </w:tabs>
        <w:kinsoku/>
        <w:wordWrap/>
        <w:overflowPunct/>
        <w:topLinePunct w:val="0"/>
        <w:autoSpaceDE/>
        <w:autoSpaceDN/>
        <w:bidi w:val="0"/>
        <w:snapToGrid w:val="0"/>
        <w:spacing w:line="500" w:lineRule="exact"/>
        <w:ind w:left="426"/>
        <w:rPr>
          <w:rFonts w:ascii="微软雅黑" w:hAnsi="微软雅黑" w:eastAsia="微软雅黑"/>
          <w:sz w:val="24"/>
        </w:rPr>
      </w:pPr>
      <w:bookmarkStart w:id="155" w:name="_Hlk140067851"/>
      <w:r>
        <w:rPr>
          <w:rFonts w:hint="eastAsia" w:ascii="微软雅黑" w:hAnsi="微软雅黑" w:eastAsia="微软雅黑"/>
          <w:sz w:val="24"/>
        </w:rPr>
        <w:t>轴承要求原装进口国际知名品牌</w:t>
      </w:r>
      <w:bookmarkEnd w:id="155"/>
      <w:r>
        <w:rPr>
          <w:rFonts w:hint="eastAsia" w:ascii="微软雅黑" w:hAnsi="微软雅黑" w:eastAsia="微软雅黑"/>
          <w:sz w:val="24"/>
        </w:rPr>
        <w:t>（如：</w:t>
      </w:r>
      <w:r>
        <w:rPr>
          <w:rFonts w:ascii="微软雅黑" w:hAnsi="微软雅黑" w:eastAsia="微软雅黑"/>
          <w:sz w:val="24"/>
        </w:rPr>
        <w:t>NSK</w:t>
      </w:r>
      <w:r>
        <w:rPr>
          <w:rFonts w:hint="eastAsia" w:ascii="微软雅黑" w:hAnsi="微软雅黑" w:eastAsia="微软雅黑"/>
          <w:sz w:val="24"/>
        </w:rPr>
        <w:t>、SKF、FAG），采用摩擦小的滚动轴承，并提供报关单；</w:t>
      </w:r>
    </w:p>
    <w:p>
      <w:pPr>
        <w:keepNext w:val="0"/>
        <w:keepLines w:val="0"/>
        <w:pageBreakBefore w:val="0"/>
        <w:widowControl w:val="0"/>
        <w:numPr>
          <w:ilvl w:val="0"/>
          <w:numId w:val="6"/>
        </w:numPr>
        <w:tabs>
          <w:tab w:val="left" w:pos="993"/>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电机优先采用专用耐氟电机，防护等级为IP54，保证机组使用寿命。</w:t>
      </w:r>
    </w:p>
    <w:p>
      <w:pPr>
        <w:keepNext w:val="0"/>
        <w:keepLines w:val="0"/>
        <w:pageBreakBefore w:val="0"/>
        <w:widowControl w:val="0"/>
        <w:numPr>
          <w:ilvl w:val="0"/>
          <w:numId w:val="6"/>
        </w:numPr>
        <w:tabs>
          <w:tab w:val="left" w:pos="993"/>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电机优先采用液态制冷剂冷却，确保电机良好的工作环境；</w:t>
      </w:r>
    </w:p>
    <w:p>
      <w:pPr>
        <w:keepNext w:val="0"/>
        <w:keepLines w:val="0"/>
        <w:pageBreakBefore w:val="0"/>
        <w:widowControl w:val="0"/>
        <w:numPr>
          <w:ilvl w:val="0"/>
          <w:numId w:val="6"/>
        </w:numPr>
        <w:tabs>
          <w:tab w:val="left" w:pos="993"/>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润滑油采用液态冷剂冷却；</w:t>
      </w:r>
    </w:p>
    <w:p>
      <w:pPr>
        <w:keepNext w:val="0"/>
        <w:keepLines w:val="0"/>
        <w:pageBreakBefore w:val="0"/>
        <w:widowControl w:val="0"/>
        <w:numPr>
          <w:ilvl w:val="0"/>
          <w:numId w:val="6"/>
        </w:numPr>
        <w:tabs>
          <w:tab w:val="left" w:pos="993"/>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压缩机应装有工厂安装的润滑系统，使用油泵供油。该系统应能满足压缩机的突然停车。系统内应包括不仅但不限于包括以下各项：</w:t>
      </w:r>
    </w:p>
    <w:p>
      <w:pPr>
        <w:keepNext w:val="0"/>
        <w:keepLines w:val="0"/>
        <w:pageBreakBefore w:val="0"/>
        <w:widowControl w:val="0"/>
        <w:tabs>
          <w:tab w:val="left" w:pos="993"/>
        </w:tabs>
        <w:kinsoku/>
        <w:wordWrap/>
        <w:overflowPunct/>
        <w:topLinePunct w:val="0"/>
        <w:autoSpaceDE/>
        <w:autoSpaceDN/>
        <w:bidi w:val="0"/>
        <w:snapToGrid w:val="0"/>
        <w:spacing w:line="500" w:lineRule="exact"/>
        <w:ind w:left="424" w:leftChars="202"/>
        <w:rPr>
          <w:rFonts w:ascii="微软雅黑" w:hAnsi="微软雅黑" w:eastAsia="微软雅黑"/>
          <w:sz w:val="24"/>
        </w:rPr>
      </w:pPr>
      <w:r>
        <w:rPr>
          <w:rFonts w:hint="eastAsia" w:ascii="微软雅黑" w:hAnsi="微软雅黑" w:eastAsia="微软雅黑"/>
          <w:sz w:val="24"/>
        </w:rPr>
        <w:t>a、电动机驱动的油泵；</w:t>
      </w:r>
    </w:p>
    <w:p>
      <w:pPr>
        <w:keepNext w:val="0"/>
        <w:keepLines w:val="0"/>
        <w:pageBreakBefore w:val="0"/>
        <w:widowControl w:val="0"/>
        <w:tabs>
          <w:tab w:val="left" w:pos="993"/>
        </w:tabs>
        <w:kinsoku/>
        <w:wordWrap/>
        <w:overflowPunct/>
        <w:topLinePunct w:val="0"/>
        <w:autoSpaceDE/>
        <w:autoSpaceDN/>
        <w:bidi w:val="0"/>
        <w:snapToGrid w:val="0"/>
        <w:spacing w:line="500" w:lineRule="exact"/>
        <w:ind w:left="424" w:leftChars="202"/>
        <w:rPr>
          <w:rFonts w:ascii="微软雅黑" w:hAnsi="微软雅黑" w:eastAsia="微软雅黑"/>
          <w:sz w:val="24"/>
        </w:rPr>
      </w:pPr>
      <w:r>
        <w:rPr>
          <w:rFonts w:hint="eastAsia" w:ascii="微软雅黑" w:hAnsi="微软雅黑" w:eastAsia="微软雅黑"/>
          <w:sz w:val="24"/>
        </w:rPr>
        <w:t>b、油冷却器；</w:t>
      </w:r>
    </w:p>
    <w:p>
      <w:pPr>
        <w:keepNext w:val="0"/>
        <w:keepLines w:val="0"/>
        <w:pageBreakBefore w:val="0"/>
        <w:widowControl w:val="0"/>
        <w:tabs>
          <w:tab w:val="left" w:pos="993"/>
        </w:tabs>
        <w:kinsoku/>
        <w:wordWrap/>
        <w:overflowPunct/>
        <w:topLinePunct w:val="0"/>
        <w:autoSpaceDE/>
        <w:autoSpaceDN/>
        <w:bidi w:val="0"/>
        <w:snapToGrid w:val="0"/>
        <w:spacing w:line="500" w:lineRule="exact"/>
        <w:ind w:left="424" w:leftChars="202"/>
        <w:rPr>
          <w:rFonts w:ascii="微软雅黑" w:hAnsi="微软雅黑" w:eastAsia="微软雅黑"/>
          <w:sz w:val="24"/>
        </w:rPr>
      </w:pPr>
      <w:r>
        <w:rPr>
          <w:rFonts w:hint="eastAsia" w:ascii="微软雅黑" w:hAnsi="微软雅黑" w:eastAsia="微软雅黑"/>
          <w:sz w:val="24"/>
        </w:rPr>
        <w:t>c、油压调节装置；</w:t>
      </w:r>
    </w:p>
    <w:p>
      <w:pPr>
        <w:keepNext w:val="0"/>
        <w:keepLines w:val="0"/>
        <w:pageBreakBefore w:val="0"/>
        <w:widowControl w:val="0"/>
        <w:tabs>
          <w:tab w:val="left" w:pos="993"/>
        </w:tabs>
        <w:kinsoku/>
        <w:wordWrap/>
        <w:overflowPunct/>
        <w:topLinePunct w:val="0"/>
        <w:autoSpaceDE/>
        <w:autoSpaceDN/>
        <w:bidi w:val="0"/>
        <w:snapToGrid w:val="0"/>
        <w:spacing w:line="500" w:lineRule="exact"/>
        <w:ind w:left="424" w:leftChars="202"/>
        <w:rPr>
          <w:rFonts w:ascii="微软雅黑" w:hAnsi="微软雅黑" w:eastAsia="微软雅黑"/>
          <w:sz w:val="24"/>
        </w:rPr>
      </w:pPr>
      <w:r>
        <w:rPr>
          <w:rFonts w:hint="eastAsia" w:ascii="微软雅黑" w:hAnsi="微软雅黑" w:eastAsia="微软雅黑"/>
          <w:sz w:val="24"/>
        </w:rPr>
        <w:t>d、可更换滤芯的油过滤器；</w:t>
      </w:r>
    </w:p>
    <w:p>
      <w:pPr>
        <w:keepNext w:val="0"/>
        <w:keepLines w:val="0"/>
        <w:pageBreakBefore w:val="0"/>
        <w:widowControl w:val="0"/>
        <w:tabs>
          <w:tab w:val="left" w:pos="993"/>
        </w:tabs>
        <w:kinsoku/>
        <w:wordWrap/>
        <w:overflowPunct/>
        <w:topLinePunct w:val="0"/>
        <w:autoSpaceDE/>
        <w:autoSpaceDN/>
        <w:bidi w:val="0"/>
        <w:snapToGrid w:val="0"/>
        <w:spacing w:line="500" w:lineRule="exact"/>
        <w:ind w:left="424" w:leftChars="202"/>
        <w:rPr>
          <w:rFonts w:ascii="微软雅黑" w:hAnsi="微软雅黑" w:eastAsia="微软雅黑"/>
          <w:sz w:val="24"/>
        </w:rPr>
      </w:pPr>
      <w:r>
        <w:rPr>
          <w:rFonts w:hint="eastAsia" w:ascii="微软雅黑" w:hAnsi="微软雅黑" w:eastAsia="微软雅黑"/>
          <w:sz w:val="24"/>
        </w:rPr>
        <w:t>e、油加热器，使油保持在适当的温度；</w:t>
      </w:r>
    </w:p>
    <w:p>
      <w:pPr>
        <w:keepNext w:val="0"/>
        <w:keepLines w:val="0"/>
        <w:pageBreakBefore w:val="0"/>
        <w:widowControl w:val="0"/>
        <w:tabs>
          <w:tab w:val="left" w:pos="993"/>
        </w:tabs>
        <w:kinsoku/>
        <w:wordWrap/>
        <w:overflowPunct/>
        <w:topLinePunct w:val="0"/>
        <w:autoSpaceDE/>
        <w:autoSpaceDN/>
        <w:bidi w:val="0"/>
        <w:snapToGrid w:val="0"/>
        <w:spacing w:line="500" w:lineRule="exact"/>
        <w:ind w:left="424" w:leftChars="202"/>
        <w:rPr>
          <w:rFonts w:ascii="微软雅黑" w:hAnsi="微软雅黑" w:eastAsia="微软雅黑"/>
          <w:sz w:val="24"/>
        </w:rPr>
      </w:pPr>
      <w:r>
        <w:rPr>
          <w:rFonts w:hint="eastAsia" w:ascii="微软雅黑" w:hAnsi="微软雅黑" w:eastAsia="微软雅黑"/>
          <w:sz w:val="24"/>
        </w:rPr>
        <w:t>f、高位重力式应急油箱；</w:t>
      </w:r>
    </w:p>
    <w:p>
      <w:pPr>
        <w:keepNext w:val="0"/>
        <w:keepLines w:val="0"/>
        <w:pageBreakBefore w:val="0"/>
        <w:widowControl w:val="0"/>
        <w:tabs>
          <w:tab w:val="left" w:pos="993"/>
        </w:tabs>
        <w:kinsoku/>
        <w:wordWrap/>
        <w:overflowPunct/>
        <w:topLinePunct w:val="0"/>
        <w:autoSpaceDE/>
        <w:autoSpaceDN/>
        <w:bidi w:val="0"/>
        <w:snapToGrid w:val="0"/>
        <w:spacing w:line="500" w:lineRule="exact"/>
        <w:ind w:left="424" w:leftChars="202"/>
        <w:rPr>
          <w:rFonts w:ascii="微软雅黑" w:hAnsi="微软雅黑" w:eastAsia="微软雅黑"/>
          <w:sz w:val="24"/>
        </w:rPr>
      </w:pPr>
      <w:r>
        <w:rPr>
          <w:rFonts w:hint="eastAsia" w:ascii="微软雅黑" w:hAnsi="微软雅黑" w:eastAsia="微软雅黑"/>
          <w:sz w:val="24"/>
        </w:rPr>
        <w:t>g、高效回油装置；</w:t>
      </w:r>
    </w:p>
    <w:p>
      <w:pPr>
        <w:keepNext w:val="0"/>
        <w:keepLines w:val="0"/>
        <w:pageBreakBefore w:val="0"/>
        <w:widowControl w:val="0"/>
        <w:numPr>
          <w:ilvl w:val="0"/>
          <w:numId w:val="6"/>
        </w:numPr>
        <w:tabs>
          <w:tab w:val="left" w:pos="993"/>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油泵、油电加热器和控制装置的配线均应在制造工厂内事先接好和检测，油泵控制系统应与机组控制系统一体化，简化操作流程；</w:t>
      </w:r>
    </w:p>
    <w:p>
      <w:pPr>
        <w:keepNext w:val="0"/>
        <w:keepLines w:val="0"/>
        <w:pageBreakBefore w:val="0"/>
        <w:widowControl w:val="0"/>
        <w:numPr>
          <w:ilvl w:val="0"/>
          <w:numId w:val="6"/>
        </w:numPr>
        <w:tabs>
          <w:tab w:val="left" w:pos="993"/>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压缩机导叶驱动机构应为直联驱动；</w:t>
      </w:r>
    </w:p>
    <w:p>
      <w:pPr>
        <w:keepNext w:val="0"/>
        <w:keepLines w:val="0"/>
        <w:pageBreakBefore w:val="0"/>
        <w:widowControl w:val="0"/>
        <w:kinsoku/>
        <w:wordWrap/>
        <w:overflowPunct/>
        <w:topLinePunct w:val="0"/>
        <w:autoSpaceDE/>
        <w:autoSpaceDN/>
        <w:bidi w:val="0"/>
        <w:snapToGrid w:val="0"/>
        <w:spacing w:line="500" w:lineRule="exact"/>
        <w:rPr>
          <w:rFonts w:ascii="微软雅黑" w:hAnsi="微软雅黑" w:eastAsia="微软雅黑"/>
          <w:sz w:val="24"/>
        </w:rPr>
      </w:pPr>
      <w:r>
        <w:rPr>
          <w:rFonts w:hint="eastAsia" w:ascii="微软雅黑" w:hAnsi="微软雅黑" w:eastAsia="微软雅黑"/>
          <w:sz w:val="24"/>
        </w:rPr>
        <w:t>（3） 蒸发器、冷凝器及经济器</w:t>
      </w:r>
    </w:p>
    <w:p>
      <w:pPr>
        <w:keepNext w:val="0"/>
        <w:keepLines w:val="0"/>
        <w:pageBreakBefore w:val="0"/>
        <w:widowControl w:val="0"/>
        <w:numPr>
          <w:ilvl w:val="0"/>
          <w:numId w:val="7"/>
        </w:numPr>
        <w:tabs>
          <w:tab w:val="left" w:pos="851"/>
          <w:tab w:val="clear" w:pos="1260"/>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蒸发器型式为满液式；</w:t>
      </w:r>
    </w:p>
    <w:p>
      <w:pPr>
        <w:keepNext w:val="0"/>
        <w:keepLines w:val="0"/>
        <w:pageBreakBefore w:val="0"/>
        <w:widowControl w:val="0"/>
        <w:numPr>
          <w:ilvl w:val="0"/>
          <w:numId w:val="7"/>
        </w:numPr>
        <w:tabs>
          <w:tab w:val="left" w:pos="851"/>
          <w:tab w:val="clear" w:pos="1260"/>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color w:val="000000"/>
          <w:sz w:val="24"/>
        </w:rPr>
        <w:t>换热管应是无缝铜管、高效型，整体内外强化，内螺纹外翅片结构。换热管应是单根可更换的，不影响管板的强度和寿命，更换不会造成相邻管的泄漏；</w:t>
      </w:r>
      <w:r>
        <w:rPr>
          <w:rFonts w:ascii="微软雅黑" w:hAnsi="微软雅黑" w:eastAsia="微软雅黑"/>
          <w:sz w:val="24"/>
        </w:rPr>
        <w:t xml:space="preserve"> </w:t>
      </w:r>
      <w:r>
        <w:rPr>
          <w:rFonts w:hint="eastAsia" w:ascii="微软雅黑" w:hAnsi="微软雅黑" w:eastAsia="微软雅黑"/>
          <w:sz w:val="24"/>
        </w:rPr>
        <w:t>换热管与端板接触处采用双密封槽设计；</w:t>
      </w:r>
    </w:p>
    <w:p>
      <w:pPr>
        <w:keepNext w:val="0"/>
        <w:keepLines w:val="0"/>
        <w:pageBreakBefore w:val="0"/>
        <w:widowControl w:val="0"/>
        <w:numPr>
          <w:ilvl w:val="0"/>
          <w:numId w:val="7"/>
        </w:numPr>
        <w:tabs>
          <w:tab w:val="left" w:pos="851"/>
          <w:tab w:val="clear" w:pos="1260"/>
        </w:tabs>
        <w:kinsoku/>
        <w:wordWrap/>
        <w:overflowPunct/>
        <w:topLinePunct w:val="0"/>
        <w:autoSpaceDE/>
        <w:autoSpaceDN/>
        <w:bidi w:val="0"/>
        <w:adjustRightInd w:val="0"/>
        <w:snapToGrid w:val="0"/>
        <w:spacing w:line="500" w:lineRule="exact"/>
        <w:ind w:left="426"/>
        <w:rPr>
          <w:rFonts w:ascii="微软雅黑" w:hAnsi="微软雅黑" w:eastAsia="微软雅黑"/>
          <w:color w:val="000000"/>
          <w:sz w:val="24"/>
        </w:rPr>
      </w:pPr>
      <w:r>
        <w:rPr>
          <w:rFonts w:hint="eastAsia" w:ascii="微软雅黑" w:hAnsi="微软雅黑" w:eastAsia="微软雅黑"/>
          <w:color w:val="000000"/>
          <w:sz w:val="24"/>
        </w:rPr>
        <w:t>蒸发器/经济器应设计有防止液态制冷剂进入压缩机的除雾器；</w:t>
      </w:r>
    </w:p>
    <w:p>
      <w:pPr>
        <w:keepNext w:val="0"/>
        <w:keepLines w:val="0"/>
        <w:pageBreakBefore w:val="0"/>
        <w:widowControl w:val="0"/>
        <w:numPr>
          <w:ilvl w:val="0"/>
          <w:numId w:val="7"/>
        </w:numPr>
        <w:tabs>
          <w:tab w:val="left" w:pos="851"/>
          <w:tab w:val="clear" w:pos="1260"/>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color w:val="000000"/>
          <w:sz w:val="24"/>
        </w:rPr>
        <w:t>蒸发器、冷凝器在筒体两端均应设计有水室。最低工作压力应符合有关标准和招标要求。水室应有放气、排水阀，水室盖应与管板之间采用铰链连接便于清洗维护；</w:t>
      </w:r>
    </w:p>
    <w:p>
      <w:pPr>
        <w:keepNext w:val="0"/>
        <w:keepLines w:val="0"/>
        <w:pageBreakBefore w:val="0"/>
        <w:widowControl w:val="0"/>
        <w:numPr>
          <w:ilvl w:val="0"/>
          <w:numId w:val="7"/>
        </w:numPr>
        <w:tabs>
          <w:tab w:val="left" w:pos="851"/>
          <w:tab w:val="clear" w:pos="1260"/>
        </w:tabs>
        <w:kinsoku/>
        <w:wordWrap/>
        <w:overflowPunct/>
        <w:topLinePunct w:val="0"/>
        <w:autoSpaceDE/>
        <w:autoSpaceDN/>
        <w:bidi w:val="0"/>
        <w:adjustRightInd w:val="0"/>
        <w:snapToGrid w:val="0"/>
        <w:spacing w:line="500" w:lineRule="exact"/>
        <w:ind w:left="426"/>
        <w:rPr>
          <w:rFonts w:ascii="微软雅黑" w:hAnsi="微软雅黑" w:eastAsia="微软雅黑"/>
          <w:color w:val="auto"/>
          <w:sz w:val="24"/>
          <w:highlight w:val="none"/>
        </w:rPr>
      </w:pPr>
      <w:r>
        <w:rPr>
          <w:rFonts w:hint="eastAsia" w:ascii="微软雅黑" w:hAnsi="微软雅黑" w:eastAsia="微软雅黑"/>
          <w:color w:val="000000"/>
          <w:sz w:val="24"/>
        </w:rPr>
        <w:t>蒸发器及冷凝器水侧承压</w:t>
      </w:r>
      <w:r>
        <w:rPr>
          <w:rFonts w:hint="eastAsia" w:ascii="微软雅黑" w:hAnsi="微软雅黑" w:eastAsia="微软雅黑"/>
          <w:color w:val="auto"/>
          <w:sz w:val="24"/>
          <w:highlight w:val="none"/>
        </w:rPr>
        <w:t>为1.</w:t>
      </w:r>
      <w:r>
        <w:rPr>
          <w:rFonts w:hint="eastAsia" w:ascii="微软雅黑" w:hAnsi="微软雅黑" w:eastAsia="微软雅黑"/>
          <w:color w:val="auto"/>
          <w:sz w:val="24"/>
          <w:highlight w:val="none"/>
          <w:lang w:val="en-US" w:eastAsia="zh-CN"/>
        </w:rPr>
        <w:t>6</w:t>
      </w:r>
      <w:r>
        <w:rPr>
          <w:rFonts w:hint="eastAsia" w:ascii="微软雅黑" w:hAnsi="微软雅黑" w:eastAsia="微软雅黑"/>
          <w:color w:val="auto"/>
          <w:sz w:val="24"/>
          <w:highlight w:val="none"/>
        </w:rPr>
        <w:t>MPa；</w:t>
      </w:r>
    </w:p>
    <w:p>
      <w:pPr>
        <w:keepNext w:val="0"/>
        <w:keepLines w:val="0"/>
        <w:pageBreakBefore w:val="0"/>
        <w:widowControl w:val="0"/>
        <w:numPr>
          <w:ilvl w:val="0"/>
          <w:numId w:val="7"/>
        </w:numPr>
        <w:tabs>
          <w:tab w:val="left" w:pos="851"/>
          <w:tab w:val="clear" w:pos="1260"/>
        </w:tabs>
        <w:kinsoku/>
        <w:wordWrap/>
        <w:overflowPunct/>
        <w:topLinePunct w:val="0"/>
        <w:autoSpaceDE/>
        <w:autoSpaceDN/>
        <w:bidi w:val="0"/>
        <w:adjustRightInd w:val="0"/>
        <w:snapToGrid w:val="0"/>
        <w:spacing w:line="500" w:lineRule="exact"/>
        <w:ind w:left="426"/>
        <w:rPr>
          <w:rFonts w:ascii="微软雅黑" w:hAnsi="微软雅黑" w:eastAsia="微软雅黑"/>
          <w:color w:val="000000"/>
          <w:sz w:val="24"/>
        </w:rPr>
      </w:pPr>
      <w:r>
        <w:rPr>
          <w:rFonts w:hint="eastAsia" w:ascii="微软雅黑" w:hAnsi="微软雅黑" w:eastAsia="微软雅黑"/>
          <w:color w:val="000000"/>
          <w:sz w:val="24"/>
        </w:rPr>
        <w:t>冷凝器应设计有排气挡板防止高速流体直接撞击冷凝器管簇上，以避免相关的震动及磨损，并得到良好的传热效果；</w:t>
      </w:r>
    </w:p>
    <w:p>
      <w:pPr>
        <w:keepNext w:val="0"/>
        <w:keepLines w:val="0"/>
        <w:pageBreakBefore w:val="0"/>
        <w:widowControl w:val="0"/>
        <w:numPr>
          <w:ilvl w:val="0"/>
          <w:numId w:val="7"/>
        </w:numPr>
        <w:tabs>
          <w:tab w:val="left" w:pos="851"/>
          <w:tab w:val="clear" w:pos="1260"/>
        </w:tabs>
        <w:kinsoku/>
        <w:wordWrap/>
        <w:overflowPunct/>
        <w:topLinePunct w:val="0"/>
        <w:autoSpaceDE/>
        <w:autoSpaceDN/>
        <w:bidi w:val="0"/>
        <w:adjustRightInd w:val="0"/>
        <w:snapToGrid w:val="0"/>
        <w:spacing w:line="500" w:lineRule="exact"/>
        <w:ind w:left="426"/>
        <w:rPr>
          <w:rFonts w:ascii="微软雅黑" w:hAnsi="微软雅黑" w:eastAsia="微软雅黑"/>
          <w:color w:val="000000"/>
          <w:sz w:val="24"/>
        </w:rPr>
      </w:pPr>
      <w:r>
        <w:rPr>
          <w:rFonts w:hint="eastAsia" w:ascii="微软雅黑" w:hAnsi="微软雅黑" w:eastAsia="微软雅黑"/>
          <w:color w:val="000000"/>
          <w:sz w:val="24"/>
        </w:rPr>
        <w:t>蒸发器和冷凝器除了设置安全阀及压力传感器之外，还应设置机械式的压力开关，防止容器压力异常，提供冗余保护功能；</w:t>
      </w:r>
    </w:p>
    <w:p>
      <w:pPr>
        <w:keepNext w:val="0"/>
        <w:keepLines w:val="0"/>
        <w:pageBreakBefore w:val="0"/>
        <w:widowControl w:val="0"/>
        <w:numPr>
          <w:ilvl w:val="0"/>
          <w:numId w:val="7"/>
        </w:numPr>
        <w:tabs>
          <w:tab w:val="left" w:pos="851"/>
          <w:tab w:val="clear" w:pos="1260"/>
        </w:tabs>
        <w:kinsoku/>
        <w:wordWrap/>
        <w:overflowPunct/>
        <w:topLinePunct w:val="0"/>
        <w:autoSpaceDE/>
        <w:autoSpaceDN/>
        <w:bidi w:val="0"/>
        <w:snapToGrid w:val="0"/>
        <w:spacing w:line="500" w:lineRule="exact"/>
        <w:ind w:left="426"/>
        <w:rPr>
          <w:rFonts w:ascii="微软雅黑" w:hAnsi="微软雅黑" w:eastAsia="微软雅黑"/>
          <w:sz w:val="24"/>
        </w:rPr>
      </w:pPr>
      <w:r>
        <w:rPr>
          <w:rFonts w:hint="eastAsia" w:ascii="微软雅黑" w:hAnsi="微软雅黑" w:eastAsia="微软雅黑"/>
          <w:sz w:val="24"/>
        </w:rPr>
        <w:t>蒸发器上应提供低温控制保护接口等。</w:t>
      </w:r>
    </w:p>
    <w:p>
      <w:pPr>
        <w:keepNext w:val="0"/>
        <w:keepLines w:val="0"/>
        <w:pageBreakBefore w:val="0"/>
        <w:widowControl w:val="0"/>
        <w:kinsoku/>
        <w:wordWrap/>
        <w:overflowPunct/>
        <w:topLinePunct w:val="0"/>
        <w:autoSpaceDE/>
        <w:autoSpaceDN/>
        <w:bidi w:val="0"/>
        <w:snapToGrid w:val="0"/>
        <w:spacing w:line="500" w:lineRule="exact"/>
        <w:rPr>
          <w:rFonts w:ascii="微软雅黑" w:hAnsi="微软雅黑" w:eastAsia="微软雅黑"/>
          <w:sz w:val="24"/>
        </w:rPr>
      </w:pPr>
      <w:r>
        <w:rPr>
          <w:rFonts w:hint="eastAsia" w:ascii="微软雅黑" w:hAnsi="微软雅黑" w:eastAsia="微软雅黑"/>
          <w:sz w:val="24"/>
        </w:rPr>
        <w:t>（4）节流装置：</w:t>
      </w:r>
    </w:p>
    <w:p>
      <w:pPr>
        <w:keepNext w:val="0"/>
        <w:keepLines w:val="0"/>
        <w:pageBreakBefore w:val="0"/>
        <w:widowControl w:val="0"/>
        <w:kinsoku/>
        <w:wordWrap/>
        <w:overflowPunct/>
        <w:topLinePunct w:val="0"/>
        <w:autoSpaceDE/>
        <w:autoSpaceDN/>
        <w:bidi w:val="0"/>
        <w:snapToGrid w:val="0"/>
        <w:spacing w:line="500" w:lineRule="exact"/>
        <w:rPr>
          <w:rFonts w:ascii="微软雅黑" w:hAnsi="微软雅黑" w:eastAsia="微软雅黑"/>
          <w:sz w:val="24"/>
        </w:rPr>
      </w:pPr>
      <w:r>
        <w:rPr>
          <w:rFonts w:hint="eastAsia" w:ascii="微软雅黑" w:hAnsi="微软雅黑" w:eastAsia="微软雅黑"/>
          <w:sz w:val="24"/>
        </w:rPr>
        <w:t>节流装置采用固定孔板节流，在保证机组节流效果的情况下提高机组的稳定性。</w:t>
      </w:r>
    </w:p>
    <w:p>
      <w:pPr>
        <w:pStyle w:val="39"/>
        <w:keepNext w:val="0"/>
        <w:keepLines w:val="0"/>
        <w:pageBreakBefore w:val="0"/>
        <w:widowControl w:val="0"/>
        <w:kinsoku/>
        <w:wordWrap/>
        <w:overflowPunct/>
        <w:topLinePunct w:val="0"/>
        <w:autoSpaceDE/>
        <w:autoSpaceDN/>
        <w:bidi w:val="0"/>
        <w:snapToGrid w:val="0"/>
        <w:spacing w:line="500" w:lineRule="exact"/>
        <w:ind w:left="142" w:firstLine="0" w:firstLineChars="0"/>
        <w:rPr>
          <w:rFonts w:ascii="微软雅黑" w:hAnsi="微软雅黑" w:eastAsia="微软雅黑"/>
          <w:b/>
          <w:sz w:val="24"/>
          <w:szCs w:val="24"/>
        </w:rPr>
      </w:pPr>
      <w:bookmarkStart w:id="156" w:name="_Toc441053369"/>
      <w:r>
        <w:rPr>
          <w:rFonts w:hint="eastAsia" w:ascii="微软雅黑" w:hAnsi="微软雅黑" w:eastAsia="微软雅黑"/>
          <w:b/>
          <w:sz w:val="24"/>
          <w:szCs w:val="24"/>
        </w:rPr>
        <w:t>2.3</w:t>
      </w:r>
      <w:bookmarkEnd w:id="156"/>
      <w:r>
        <w:rPr>
          <w:rFonts w:hint="eastAsia" w:ascii="微软雅黑" w:hAnsi="微软雅黑" w:eastAsia="微软雅黑"/>
          <w:b/>
          <w:sz w:val="24"/>
          <w:szCs w:val="24"/>
        </w:rPr>
        <w:t>控制及安全装置</w:t>
      </w:r>
    </w:p>
    <w:p>
      <w:pPr>
        <w:pStyle w:val="56"/>
        <w:keepNext w:val="0"/>
        <w:keepLines w:val="0"/>
        <w:pageBreakBefore w:val="0"/>
        <w:widowControl w:val="0"/>
        <w:kinsoku/>
        <w:wordWrap/>
        <w:overflowPunct/>
        <w:topLinePunct w:val="0"/>
        <w:autoSpaceDE/>
        <w:autoSpaceDN/>
        <w:bidi w:val="0"/>
        <w:adjustRightInd w:val="0"/>
        <w:snapToGrid w:val="0"/>
        <w:spacing w:line="500" w:lineRule="exact"/>
        <w:ind w:left="6" w:firstLine="480"/>
        <w:rPr>
          <w:rFonts w:ascii="微软雅黑" w:hAnsi="微软雅黑" w:eastAsia="微软雅黑"/>
          <w:sz w:val="24"/>
        </w:rPr>
      </w:pPr>
      <w:bookmarkStart w:id="157" w:name="_Toc441053370"/>
      <w:r>
        <w:rPr>
          <w:rFonts w:hint="eastAsia" w:ascii="微软雅黑" w:hAnsi="微软雅黑" w:eastAsia="微软雅黑"/>
          <w:sz w:val="24"/>
        </w:rPr>
        <w:t>控制系统应能使热泵机组从启动至停机实现自动化。一旦通上电，控制系统就执行全部必要的控制和安全保护功能，包括工况和故障等监测控制。</w:t>
      </w:r>
    </w:p>
    <w:p>
      <w:pPr>
        <w:pStyle w:val="56"/>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left="851" w:leftChars="-1" w:hanging="853" w:firstLineChars="0"/>
        <w:rPr>
          <w:rFonts w:ascii="微软雅黑" w:hAnsi="微软雅黑" w:eastAsia="微软雅黑"/>
          <w:sz w:val="24"/>
        </w:rPr>
      </w:pPr>
      <w:r>
        <w:rPr>
          <w:rFonts w:hint="eastAsia" w:ascii="微软雅黑" w:hAnsi="微软雅黑" w:eastAsia="微软雅黑"/>
          <w:sz w:val="24"/>
        </w:rPr>
        <w:t>机组的运行过程由PLC自动控制，根据负载变化而自动控制机组的运行。</w:t>
      </w:r>
    </w:p>
    <w:p>
      <w:pPr>
        <w:pStyle w:val="56"/>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left="851" w:hanging="851" w:firstLineChars="0"/>
        <w:rPr>
          <w:rFonts w:ascii="微软雅黑" w:hAnsi="微软雅黑" w:eastAsia="微软雅黑"/>
          <w:sz w:val="24"/>
        </w:rPr>
      </w:pPr>
      <w:r>
        <w:rPr>
          <w:rFonts w:hint="eastAsia" w:ascii="微软雅黑" w:hAnsi="微软雅黑" w:eastAsia="微软雅黑"/>
          <w:sz w:val="24"/>
        </w:rPr>
        <w:t>※ 系统应有完整的故障自动保护、报警和自动诊断功能，并能自动记录、储蓄并显示全部的故障与报警信息。</w:t>
      </w:r>
    </w:p>
    <w:p>
      <w:pPr>
        <w:pStyle w:val="56"/>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left="851" w:hanging="851" w:firstLineChars="0"/>
        <w:rPr>
          <w:rFonts w:ascii="微软雅黑" w:hAnsi="微软雅黑" w:eastAsia="微软雅黑"/>
          <w:sz w:val="24"/>
        </w:rPr>
      </w:pPr>
      <w:r>
        <w:rPr>
          <w:rFonts w:hint="eastAsia" w:ascii="微软雅黑" w:hAnsi="微软雅黑" w:eastAsia="微软雅黑"/>
          <w:sz w:val="24"/>
        </w:rPr>
        <w:t>※ 控制系统应该探明接近保护极限的情况并在警报发生前采取自动校正措施。当冷凝器压力、蒸发器压力、电机电流任意一个参数超出它们的正常运行范围时，机组应优先自动卸载，当到达报警设定值后方可停机保护。</w:t>
      </w:r>
    </w:p>
    <w:p>
      <w:pPr>
        <w:pStyle w:val="56"/>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firstLineChars="0"/>
        <w:rPr>
          <w:rFonts w:ascii="微软雅黑" w:hAnsi="微软雅黑" w:eastAsia="微软雅黑"/>
          <w:sz w:val="24"/>
        </w:rPr>
      </w:pPr>
      <w:r>
        <w:rPr>
          <w:rFonts w:hint="eastAsia" w:ascii="微软雅黑" w:hAnsi="微软雅黑" w:eastAsia="微软雅黑"/>
          <w:sz w:val="24"/>
        </w:rPr>
        <w:t>控制柜显示屏为彩色中文触摸屏，彩色触摸屏尺寸不小于1</w:t>
      </w:r>
      <w:r>
        <w:rPr>
          <w:rFonts w:ascii="微软雅黑" w:hAnsi="微软雅黑" w:eastAsia="微软雅黑"/>
          <w:sz w:val="24"/>
        </w:rPr>
        <w:t>0</w:t>
      </w:r>
      <w:r>
        <w:rPr>
          <w:rFonts w:hint="eastAsia" w:ascii="微软雅黑" w:hAnsi="微软雅黑" w:eastAsia="微软雅黑"/>
          <w:sz w:val="24"/>
        </w:rPr>
        <w:t xml:space="preserve">寸 </w:t>
      </w:r>
      <w:r>
        <w:rPr>
          <w:rFonts w:ascii="微软雅黑" w:hAnsi="微软雅黑" w:eastAsia="微软雅黑"/>
          <w:sz w:val="24"/>
        </w:rPr>
        <w:t xml:space="preserve"> </w:t>
      </w:r>
      <w:r>
        <w:rPr>
          <w:rFonts w:hint="eastAsia" w:ascii="微软雅黑" w:hAnsi="微软雅黑" w:eastAsia="微软雅黑"/>
          <w:sz w:val="24"/>
        </w:rPr>
        <w:t>。</w:t>
      </w:r>
    </w:p>
    <w:p>
      <w:pPr>
        <w:pStyle w:val="56"/>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firstLineChars="0"/>
        <w:rPr>
          <w:rFonts w:ascii="微软雅黑" w:hAnsi="微软雅黑" w:eastAsia="微软雅黑"/>
          <w:sz w:val="24"/>
        </w:rPr>
      </w:pPr>
      <w:r>
        <w:rPr>
          <w:rFonts w:hint="eastAsia" w:ascii="微软雅黑" w:hAnsi="微软雅黑" w:eastAsia="微软雅黑"/>
          <w:sz w:val="24"/>
        </w:rPr>
        <w:t>控制系统应提供RS485通讯接口和网口，支持Modbus-RTU、Modbus-TCP、TCP/IP、Profinet等多种通讯协议，以便与楼宇自控系统连接。</w:t>
      </w:r>
    </w:p>
    <w:p>
      <w:pPr>
        <w:pStyle w:val="56"/>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firstLineChars="0"/>
        <w:rPr>
          <w:rFonts w:ascii="微软雅黑" w:hAnsi="微软雅黑" w:eastAsia="微软雅黑"/>
          <w:sz w:val="24"/>
        </w:rPr>
      </w:pPr>
      <w:r>
        <w:rPr>
          <w:rFonts w:hint="eastAsia" w:ascii="微软雅黑" w:hAnsi="微软雅黑" w:eastAsia="微软雅黑"/>
          <w:sz w:val="24"/>
        </w:rPr>
        <w:t>机组应具有日程功能。热泵机组控制应能配置成手动或自动启动/停机。在自动操作模式下，控制装置应能自动按照用户编制的使用日程表启停热泵机组。</w:t>
      </w:r>
    </w:p>
    <w:p>
      <w:pPr>
        <w:pStyle w:val="56"/>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left="851" w:hanging="851" w:firstLineChars="0"/>
        <w:rPr>
          <w:rFonts w:ascii="微软雅黑" w:hAnsi="微软雅黑" w:eastAsia="微软雅黑"/>
          <w:sz w:val="24"/>
        </w:rPr>
      </w:pPr>
      <w:r>
        <w:rPr>
          <w:rFonts w:hint="eastAsia" w:ascii="微软雅黑" w:hAnsi="微软雅黑" w:eastAsia="微软雅黑"/>
          <w:sz w:val="24"/>
        </w:rPr>
        <w:t>控制盘需显示以下标准信息（但不仅仅限于以下内容）：</w:t>
      </w:r>
    </w:p>
    <w:p>
      <w:pPr>
        <w:pStyle w:val="56"/>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left="851" w:hanging="851" w:firstLineChars="0"/>
        <w:rPr>
          <w:rFonts w:ascii="微软雅黑" w:hAnsi="微软雅黑" w:eastAsia="微软雅黑"/>
          <w:sz w:val="24"/>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9"/>
        </w:numPr>
        <w:tabs>
          <w:tab w:val="left" w:pos="709"/>
          <w:tab w:val="clear" w:pos="1680"/>
        </w:tabs>
        <w:kinsoku/>
        <w:wordWrap/>
        <w:overflowPunct/>
        <w:topLinePunct w:val="0"/>
        <w:autoSpaceDE/>
        <w:autoSpaceDN/>
        <w:bidi w:val="0"/>
        <w:snapToGrid w:val="0"/>
        <w:spacing w:line="500" w:lineRule="exact"/>
        <w:ind w:left="0" w:firstLine="0"/>
        <w:rPr>
          <w:rFonts w:ascii="微软雅黑" w:hAnsi="微软雅黑" w:eastAsia="微软雅黑"/>
          <w:sz w:val="24"/>
        </w:rPr>
      </w:pPr>
      <w:r>
        <w:rPr>
          <w:rFonts w:hint="eastAsia" w:ascii="微软雅黑" w:hAnsi="微软雅黑" w:eastAsia="微软雅黑"/>
          <w:sz w:val="24"/>
        </w:rPr>
        <w:t>冷、温水入口、出口温度</w:t>
      </w:r>
    </w:p>
    <w:p>
      <w:pPr>
        <w:keepNext w:val="0"/>
        <w:keepLines w:val="0"/>
        <w:pageBreakBefore w:val="0"/>
        <w:widowControl w:val="0"/>
        <w:numPr>
          <w:ilvl w:val="0"/>
          <w:numId w:val="9"/>
        </w:numPr>
        <w:tabs>
          <w:tab w:val="left" w:pos="709"/>
          <w:tab w:val="clear" w:pos="1680"/>
        </w:tabs>
        <w:kinsoku/>
        <w:wordWrap/>
        <w:overflowPunct/>
        <w:topLinePunct w:val="0"/>
        <w:autoSpaceDE/>
        <w:autoSpaceDN/>
        <w:bidi w:val="0"/>
        <w:snapToGrid w:val="0"/>
        <w:spacing w:line="500" w:lineRule="exact"/>
        <w:ind w:left="0" w:firstLine="0"/>
        <w:rPr>
          <w:rFonts w:ascii="微软雅黑" w:hAnsi="微软雅黑" w:eastAsia="微软雅黑"/>
          <w:sz w:val="24"/>
        </w:rPr>
      </w:pPr>
      <w:r>
        <w:rPr>
          <w:rFonts w:hint="eastAsia" w:ascii="微软雅黑" w:hAnsi="微软雅黑" w:eastAsia="微软雅黑"/>
          <w:sz w:val="24"/>
        </w:rPr>
        <w:t>热源水入口、出口温度</w:t>
      </w:r>
    </w:p>
    <w:p>
      <w:pPr>
        <w:keepNext w:val="0"/>
        <w:keepLines w:val="0"/>
        <w:pageBreakBefore w:val="0"/>
        <w:widowControl w:val="0"/>
        <w:numPr>
          <w:ilvl w:val="0"/>
          <w:numId w:val="9"/>
        </w:numPr>
        <w:tabs>
          <w:tab w:val="left" w:pos="709"/>
          <w:tab w:val="clear" w:pos="1680"/>
        </w:tabs>
        <w:kinsoku/>
        <w:wordWrap/>
        <w:overflowPunct/>
        <w:topLinePunct w:val="0"/>
        <w:autoSpaceDE/>
        <w:autoSpaceDN/>
        <w:bidi w:val="0"/>
        <w:snapToGrid w:val="0"/>
        <w:spacing w:line="500" w:lineRule="exact"/>
        <w:ind w:left="0" w:firstLine="0"/>
        <w:rPr>
          <w:rFonts w:ascii="微软雅黑" w:hAnsi="微软雅黑" w:eastAsia="微软雅黑"/>
          <w:sz w:val="24"/>
        </w:rPr>
      </w:pPr>
      <w:r>
        <w:rPr>
          <w:rFonts w:hint="eastAsia" w:ascii="微软雅黑" w:hAnsi="微软雅黑" w:eastAsia="微软雅黑"/>
          <w:sz w:val="24"/>
        </w:rPr>
        <w:t>冷剂冷凝温度</w:t>
      </w:r>
    </w:p>
    <w:p>
      <w:pPr>
        <w:keepNext w:val="0"/>
        <w:keepLines w:val="0"/>
        <w:pageBreakBefore w:val="0"/>
        <w:widowControl w:val="0"/>
        <w:numPr>
          <w:ilvl w:val="0"/>
          <w:numId w:val="9"/>
        </w:numPr>
        <w:tabs>
          <w:tab w:val="left" w:pos="709"/>
          <w:tab w:val="clear" w:pos="1680"/>
        </w:tabs>
        <w:kinsoku/>
        <w:wordWrap/>
        <w:overflowPunct/>
        <w:topLinePunct w:val="0"/>
        <w:autoSpaceDE/>
        <w:autoSpaceDN/>
        <w:bidi w:val="0"/>
        <w:snapToGrid w:val="0"/>
        <w:spacing w:line="500" w:lineRule="exact"/>
        <w:ind w:left="0" w:firstLine="0"/>
        <w:rPr>
          <w:rFonts w:ascii="微软雅黑" w:hAnsi="微软雅黑" w:eastAsia="微软雅黑"/>
          <w:sz w:val="24"/>
        </w:rPr>
      </w:pPr>
      <w:r>
        <w:rPr>
          <w:rFonts w:hint="eastAsia" w:ascii="微软雅黑" w:hAnsi="微软雅黑" w:eastAsia="微软雅黑"/>
          <w:sz w:val="24"/>
        </w:rPr>
        <w:t>冷剂蒸发温度</w:t>
      </w:r>
    </w:p>
    <w:p>
      <w:pPr>
        <w:keepNext w:val="0"/>
        <w:keepLines w:val="0"/>
        <w:pageBreakBefore w:val="0"/>
        <w:widowControl w:val="0"/>
        <w:numPr>
          <w:ilvl w:val="0"/>
          <w:numId w:val="9"/>
        </w:numPr>
        <w:tabs>
          <w:tab w:val="left" w:pos="709"/>
          <w:tab w:val="clear" w:pos="1680"/>
        </w:tabs>
        <w:kinsoku/>
        <w:wordWrap/>
        <w:overflowPunct/>
        <w:topLinePunct w:val="0"/>
        <w:autoSpaceDE/>
        <w:autoSpaceDN/>
        <w:bidi w:val="0"/>
        <w:snapToGrid w:val="0"/>
        <w:spacing w:line="500" w:lineRule="exact"/>
        <w:ind w:left="0" w:firstLine="0"/>
        <w:rPr>
          <w:rFonts w:ascii="微软雅黑" w:hAnsi="微软雅黑" w:eastAsia="微软雅黑"/>
          <w:sz w:val="24"/>
        </w:rPr>
      </w:pPr>
      <w:r>
        <w:rPr>
          <w:rFonts w:hint="eastAsia" w:ascii="微软雅黑" w:hAnsi="微软雅黑" w:eastAsia="微软雅黑"/>
          <w:sz w:val="24"/>
        </w:rPr>
        <w:t xml:space="preserve">油箱温度 </w:t>
      </w:r>
    </w:p>
    <w:p>
      <w:pPr>
        <w:keepNext w:val="0"/>
        <w:keepLines w:val="0"/>
        <w:pageBreakBefore w:val="0"/>
        <w:widowControl w:val="0"/>
        <w:numPr>
          <w:ilvl w:val="0"/>
          <w:numId w:val="9"/>
        </w:numPr>
        <w:tabs>
          <w:tab w:val="left" w:pos="709"/>
          <w:tab w:val="clear" w:pos="1680"/>
        </w:tabs>
        <w:kinsoku/>
        <w:wordWrap/>
        <w:overflowPunct/>
        <w:topLinePunct w:val="0"/>
        <w:autoSpaceDE/>
        <w:autoSpaceDN/>
        <w:bidi w:val="0"/>
        <w:snapToGrid w:val="0"/>
        <w:spacing w:line="500" w:lineRule="exact"/>
        <w:ind w:left="0" w:firstLine="0"/>
        <w:rPr>
          <w:rFonts w:ascii="微软雅黑" w:hAnsi="微软雅黑" w:eastAsia="微软雅黑"/>
          <w:sz w:val="24"/>
        </w:rPr>
      </w:pPr>
      <w:r>
        <w:rPr>
          <w:rFonts w:hint="eastAsia" w:ascii="微软雅黑" w:hAnsi="微软雅黑" w:eastAsia="微软雅黑"/>
          <w:sz w:val="24"/>
        </w:rPr>
        <w:t xml:space="preserve">轴承温度 </w:t>
      </w:r>
    </w:p>
    <w:p>
      <w:pPr>
        <w:keepNext w:val="0"/>
        <w:keepLines w:val="0"/>
        <w:pageBreakBefore w:val="0"/>
        <w:widowControl w:val="0"/>
        <w:numPr>
          <w:ilvl w:val="0"/>
          <w:numId w:val="9"/>
        </w:numPr>
        <w:tabs>
          <w:tab w:val="left" w:pos="993"/>
          <w:tab w:val="clear" w:pos="1680"/>
        </w:tabs>
        <w:kinsoku/>
        <w:wordWrap/>
        <w:overflowPunct/>
        <w:topLinePunct w:val="0"/>
        <w:autoSpaceDE/>
        <w:autoSpaceDN/>
        <w:bidi w:val="0"/>
        <w:snapToGrid w:val="0"/>
        <w:spacing w:line="500" w:lineRule="exact"/>
        <w:ind w:left="0" w:firstLine="0"/>
        <w:rPr>
          <w:rFonts w:ascii="微软雅黑" w:hAnsi="微软雅黑" w:eastAsia="微软雅黑"/>
          <w:sz w:val="24"/>
        </w:rPr>
      </w:pPr>
      <w:r>
        <w:rPr>
          <w:rFonts w:hint="eastAsia" w:ascii="微软雅黑" w:hAnsi="微软雅黑" w:eastAsia="微软雅黑"/>
          <w:sz w:val="24"/>
        </w:rPr>
        <w:t>导叶开度</w:t>
      </w:r>
    </w:p>
    <w:p>
      <w:pPr>
        <w:keepNext w:val="0"/>
        <w:keepLines w:val="0"/>
        <w:pageBreakBefore w:val="0"/>
        <w:widowControl w:val="0"/>
        <w:numPr>
          <w:ilvl w:val="0"/>
          <w:numId w:val="9"/>
        </w:numPr>
        <w:tabs>
          <w:tab w:val="left" w:pos="993"/>
          <w:tab w:val="clear" w:pos="1680"/>
        </w:tabs>
        <w:kinsoku/>
        <w:wordWrap/>
        <w:overflowPunct/>
        <w:topLinePunct w:val="0"/>
        <w:autoSpaceDE/>
        <w:autoSpaceDN/>
        <w:bidi w:val="0"/>
        <w:snapToGrid w:val="0"/>
        <w:spacing w:line="500" w:lineRule="exact"/>
        <w:ind w:left="0" w:firstLine="0"/>
        <w:rPr>
          <w:rFonts w:ascii="微软雅黑" w:hAnsi="微软雅黑" w:eastAsia="微软雅黑"/>
          <w:sz w:val="24"/>
        </w:rPr>
      </w:pPr>
      <w:r>
        <w:rPr>
          <w:rFonts w:hint="eastAsia" w:ascii="微软雅黑" w:hAnsi="微软雅黑" w:eastAsia="微软雅黑"/>
          <w:sz w:val="24"/>
        </w:rPr>
        <w:t>主电动机电流</w:t>
      </w:r>
    </w:p>
    <w:p>
      <w:pPr>
        <w:keepNext w:val="0"/>
        <w:keepLines w:val="0"/>
        <w:pageBreakBefore w:val="0"/>
        <w:widowControl w:val="0"/>
        <w:numPr>
          <w:ilvl w:val="0"/>
          <w:numId w:val="9"/>
        </w:numPr>
        <w:tabs>
          <w:tab w:val="left" w:pos="993"/>
          <w:tab w:val="clear" w:pos="1680"/>
        </w:tabs>
        <w:kinsoku/>
        <w:wordWrap/>
        <w:overflowPunct/>
        <w:topLinePunct w:val="0"/>
        <w:autoSpaceDE/>
        <w:autoSpaceDN/>
        <w:bidi w:val="0"/>
        <w:snapToGrid w:val="0"/>
        <w:spacing w:line="500" w:lineRule="exact"/>
        <w:ind w:left="0" w:firstLine="0"/>
        <w:rPr>
          <w:rFonts w:ascii="微软雅黑" w:hAnsi="微软雅黑" w:eastAsia="微软雅黑"/>
          <w:sz w:val="24"/>
        </w:rPr>
      </w:pPr>
      <w:r>
        <w:rPr>
          <w:rFonts w:hint="eastAsia" w:ascii="微软雅黑" w:hAnsi="微软雅黑" w:eastAsia="微软雅黑"/>
          <w:sz w:val="24"/>
        </w:rPr>
        <w:t>油泵电流</w:t>
      </w:r>
    </w:p>
    <w:p>
      <w:pPr>
        <w:keepNext w:val="0"/>
        <w:keepLines w:val="0"/>
        <w:pageBreakBefore w:val="0"/>
        <w:widowControl w:val="0"/>
        <w:numPr>
          <w:ilvl w:val="0"/>
          <w:numId w:val="9"/>
        </w:numPr>
        <w:tabs>
          <w:tab w:val="left" w:pos="993"/>
          <w:tab w:val="clear" w:pos="1680"/>
        </w:tabs>
        <w:kinsoku/>
        <w:wordWrap/>
        <w:overflowPunct/>
        <w:topLinePunct w:val="0"/>
        <w:autoSpaceDE/>
        <w:autoSpaceDN/>
        <w:bidi w:val="0"/>
        <w:snapToGrid w:val="0"/>
        <w:spacing w:line="500" w:lineRule="exact"/>
        <w:ind w:left="0" w:firstLine="0"/>
        <w:rPr>
          <w:rFonts w:ascii="微软雅黑" w:hAnsi="微软雅黑" w:eastAsia="微软雅黑"/>
          <w:sz w:val="24"/>
        </w:rPr>
      </w:pPr>
      <w:r>
        <w:rPr>
          <w:rFonts w:hint="eastAsia" w:ascii="微软雅黑" w:hAnsi="微软雅黑" w:eastAsia="微软雅黑"/>
          <w:sz w:val="24"/>
        </w:rPr>
        <w:t>蒸发器压力</w:t>
      </w:r>
    </w:p>
    <w:p>
      <w:pPr>
        <w:keepNext w:val="0"/>
        <w:keepLines w:val="0"/>
        <w:pageBreakBefore w:val="0"/>
        <w:widowControl w:val="0"/>
        <w:numPr>
          <w:ilvl w:val="0"/>
          <w:numId w:val="9"/>
        </w:numPr>
        <w:tabs>
          <w:tab w:val="left" w:pos="993"/>
          <w:tab w:val="clear" w:pos="1680"/>
        </w:tabs>
        <w:kinsoku/>
        <w:wordWrap/>
        <w:overflowPunct/>
        <w:topLinePunct w:val="0"/>
        <w:autoSpaceDE/>
        <w:autoSpaceDN/>
        <w:bidi w:val="0"/>
        <w:snapToGrid w:val="0"/>
        <w:spacing w:line="500" w:lineRule="exact"/>
        <w:ind w:left="0" w:firstLine="0"/>
        <w:rPr>
          <w:rFonts w:ascii="微软雅黑" w:hAnsi="微软雅黑" w:eastAsia="微软雅黑"/>
          <w:sz w:val="24"/>
        </w:rPr>
      </w:pPr>
      <w:r>
        <w:rPr>
          <w:rFonts w:hint="eastAsia" w:ascii="微软雅黑" w:hAnsi="微软雅黑" w:eastAsia="微软雅黑"/>
          <w:sz w:val="24"/>
        </w:rPr>
        <w:t>冷凝器压力</w:t>
      </w:r>
    </w:p>
    <w:p>
      <w:pPr>
        <w:keepNext w:val="0"/>
        <w:keepLines w:val="0"/>
        <w:pageBreakBefore w:val="0"/>
        <w:widowControl w:val="0"/>
        <w:numPr>
          <w:ilvl w:val="0"/>
          <w:numId w:val="9"/>
        </w:numPr>
        <w:tabs>
          <w:tab w:val="left" w:pos="993"/>
          <w:tab w:val="clear" w:pos="1680"/>
        </w:tabs>
        <w:kinsoku/>
        <w:wordWrap/>
        <w:overflowPunct/>
        <w:topLinePunct w:val="0"/>
        <w:autoSpaceDE/>
        <w:autoSpaceDN/>
        <w:bidi w:val="0"/>
        <w:snapToGrid w:val="0"/>
        <w:spacing w:line="500" w:lineRule="exact"/>
        <w:ind w:left="0" w:firstLine="0"/>
        <w:rPr>
          <w:rFonts w:ascii="微软雅黑" w:hAnsi="微软雅黑" w:eastAsia="微软雅黑"/>
          <w:sz w:val="24"/>
        </w:rPr>
      </w:pPr>
      <w:r>
        <w:rPr>
          <w:rFonts w:hint="eastAsia" w:ascii="微软雅黑" w:hAnsi="微软雅黑" w:eastAsia="微软雅黑"/>
          <w:sz w:val="24"/>
        </w:rPr>
        <w:t>全油压</w:t>
      </w:r>
    </w:p>
    <w:p>
      <w:pPr>
        <w:keepNext w:val="0"/>
        <w:keepLines w:val="0"/>
        <w:pageBreakBefore w:val="0"/>
        <w:widowControl w:val="0"/>
        <w:kinsoku/>
        <w:wordWrap/>
        <w:overflowPunct/>
        <w:topLinePunct w:val="0"/>
        <w:autoSpaceDE/>
        <w:autoSpaceDN/>
        <w:bidi w:val="0"/>
        <w:snapToGrid w:val="0"/>
        <w:spacing w:line="500" w:lineRule="exact"/>
        <w:rPr>
          <w:rFonts w:ascii="微软雅黑" w:hAnsi="微软雅黑" w:eastAsia="微软雅黑"/>
          <w:sz w:val="24"/>
        </w:rPr>
        <w:sectPr>
          <w:type w:val="continuous"/>
          <w:pgSz w:w="11906" w:h="16838"/>
          <w:pgMar w:top="1440" w:right="1800" w:bottom="1440" w:left="1800" w:header="851" w:footer="992" w:gutter="0"/>
          <w:pgNumType w:fmt="decimal"/>
          <w:cols w:space="282" w:num="2"/>
          <w:docGrid w:type="lines" w:linePitch="312" w:charSpace="0"/>
        </w:sectPr>
      </w:pPr>
    </w:p>
    <w:p>
      <w:pPr>
        <w:pStyle w:val="56"/>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left="0" w:firstLine="0" w:firstLineChars="0"/>
        <w:rPr>
          <w:rFonts w:ascii="微软雅黑" w:hAnsi="微软雅黑" w:eastAsia="微软雅黑"/>
          <w:color w:val="000000"/>
          <w:sz w:val="24"/>
        </w:rPr>
      </w:pPr>
      <w:r>
        <w:rPr>
          <w:rFonts w:hint="eastAsia" w:ascii="微软雅黑" w:hAnsi="微软雅黑" w:eastAsia="微软雅黑"/>
          <w:color w:val="000000"/>
          <w:sz w:val="24"/>
        </w:rPr>
        <w:t>机组的安全保护项目至少应包括以下内容</w:t>
      </w:r>
      <w:r>
        <w:rPr>
          <w:rFonts w:ascii="微软雅黑" w:hAnsi="微软雅黑" w:eastAsia="微软雅黑"/>
          <w:color w:val="000000"/>
          <w:sz w:val="24"/>
        </w:rPr>
        <w:t>:</w:t>
      </w:r>
    </w:p>
    <w:p>
      <w:pPr>
        <w:keepNext w:val="0"/>
        <w:keepLines w:val="0"/>
        <w:pageBreakBefore w:val="0"/>
        <w:widowControl w:val="0"/>
        <w:numPr>
          <w:ilvl w:val="0"/>
          <w:numId w:val="10"/>
        </w:numPr>
        <w:tabs>
          <w:tab w:val="left" w:pos="851"/>
          <w:tab w:val="clear" w:pos="1680"/>
        </w:tabs>
        <w:kinsoku/>
        <w:wordWrap/>
        <w:overflowPunct/>
        <w:topLinePunct w:val="0"/>
        <w:autoSpaceDE/>
        <w:autoSpaceDN/>
        <w:bidi w:val="0"/>
        <w:snapToGrid w:val="0"/>
        <w:spacing w:line="500" w:lineRule="exact"/>
        <w:ind w:left="141" w:leftChars="67" w:firstLine="0"/>
        <w:rPr>
          <w:rFonts w:ascii="微软雅黑" w:hAnsi="微软雅黑" w:eastAsia="微软雅黑"/>
          <w:sz w:val="24"/>
        </w:rPr>
      </w:pPr>
      <w:r>
        <w:rPr>
          <w:rFonts w:hint="eastAsia" w:ascii="微软雅黑" w:hAnsi="微软雅黑" w:eastAsia="微软雅黑"/>
          <w:sz w:val="24"/>
        </w:rPr>
        <w:t>启动前安全确认是否具备</w:t>
      </w:r>
    </w:p>
    <w:p>
      <w:pPr>
        <w:keepNext w:val="0"/>
        <w:keepLines w:val="0"/>
        <w:pageBreakBefore w:val="0"/>
        <w:widowControl w:val="0"/>
        <w:numPr>
          <w:ilvl w:val="0"/>
          <w:numId w:val="10"/>
        </w:numPr>
        <w:tabs>
          <w:tab w:val="left" w:pos="851"/>
          <w:tab w:val="clear" w:pos="1680"/>
        </w:tabs>
        <w:kinsoku/>
        <w:wordWrap/>
        <w:overflowPunct/>
        <w:topLinePunct w:val="0"/>
        <w:autoSpaceDE/>
        <w:autoSpaceDN/>
        <w:bidi w:val="0"/>
        <w:snapToGrid w:val="0"/>
        <w:spacing w:line="500" w:lineRule="exact"/>
        <w:ind w:left="141" w:leftChars="67" w:firstLine="0"/>
        <w:rPr>
          <w:rFonts w:ascii="微软雅黑" w:hAnsi="微软雅黑" w:eastAsia="微软雅黑"/>
          <w:sz w:val="24"/>
        </w:rPr>
      </w:pPr>
      <w:r>
        <w:rPr>
          <w:rFonts w:hint="eastAsia" w:ascii="微软雅黑" w:hAnsi="微软雅黑" w:eastAsia="微软雅黑"/>
          <w:sz w:val="24"/>
        </w:rPr>
        <w:t xml:space="preserve">防冻结保护措施  </w:t>
      </w:r>
    </w:p>
    <w:p>
      <w:pPr>
        <w:keepNext w:val="0"/>
        <w:keepLines w:val="0"/>
        <w:pageBreakBefore w:val="0"/>
        <w:widowControl w:val="0"/>
        <w:numPr>
          <w:ilvl w:val="0"/>
          <w:numId w:val="10"/>
        </w:numPr>
        <w:tabs>
          <w:tab w:val="left" w:pos="851"/>
          <w:tab w:val="clear" w:pos="1680"/>
        </w:tabs>
        <w:kinsoku/>
        <w:wordWrap/>
        <w:overflowPunct/>
        <w:topLinePunct w:val="0"/>
        <w:autoSpaceDE/>
        <w:autoSpaceDN/>
        <w:bidi w:val="0"/>
        <w:snapToGrid w:val="0"/>
        <w:spacing w:line="500" w:lineRule="exact"/>
        <w:ind w:left="141" w:leftChars="67" w:firstLine="0"/>
        <w:rPr>
          <w:rFonts w:ascii="微软雅黑" w:hAnsi="微软雅黑" w:eastAsia="微软雅黑"/>
          <w:sz w:val="24"/>
        </w:rPr>
      </w:pPr>
      <w:r>
        <w:rPr>
          <w:rFonts w:hint="eastAsia" w:ascii="微软雅黑" w:hAnsi="微软雅黑" w:eastAsia="微软雅黑"/>
          <w:sz w:val="24"/>
        </w:rPr>
        <w:t>电动机过热保护</w:t>
      </w:r>
    </w:p>
    <w:p>
      <w:pPr>
        <w:keepNext w:val="0"/>
        <w:keepLines w:val="0"/>
        <w:pageBreakBefore w:val="0"/>
        <w:widowControl w:val="0"/>
        <w:numPr>
          <w:ilvl w:val="0"/>
          <w:numId w:val="10"/>
        </w:numPr>
        <w:tabs>
          <w:tab w:val="left" w:pos="851"/>
          <w:tab w:val="clear" w:pos="1680"/>
        </w:tabs>
        <w:kinsoku/>
        <w:wordWrap/>
        <w:overflowPunct/>
        <w:topLinePunct w:val="0"/>
        <w:autoSpaceDE/>
        <w:autoSpaceDN/>
        <w:bidi w:val="0"/>
        <w:snapToGrid w:val="0"/>
        <w:spacing w:line="500" w:lineRule="exact"/>
        <w:ind w:left="141" w:leftChars="67" w:firstLine="0"/>
        <w:rPr>
          <w:rFonts w:ascii="微软雅黑" w:hAnsi="微软雅黑" w:eastAsia="微软雅黑"/>
          <w:sz w:val="24"/>
        </w:rPr>
      </w:pPr>
      <w:r>
        <w:rPr>
          <w:rFonts w:hint="eastAsia" w:ascii="微软雅黑" w:hAnsi="微软雅黑" w:eastAsia="微软雅黑"/>
          <w:sz w:val="24"/>
        </w:rPr>
        <w:t xml:space="preserve">机组内压异常上升保护： </w:t>
      </w:r>
    </w:p>
    <w:p>
      <w:pPr>
        <w:keepNext w:val="0"/>
        <w:keepLines w:val="0"/>
        <w:pageBreakBefore w:val="0"/>
        <w:widowControl w:val="0"/>
        <w:numPr>
          <w:ilvl w:val="0"/>
          <w:numId w:val="10"/>
        </w:numPr>
        <w:tabs>
          <w:tab w:val="left" w:pos="851"/>
          <w:tab w:val="clear" w:pos="1680"/>
        </w:tabs>
        <w:kinsoku/>
        <w:wordWrap/>
        <w:overflowPunct/>
        <w:topLinePunct w:val="0"/>
        <w:autoSpaceDE/>
        <w:autoSpaceDN/>
        <w:bidi w:val="0"/>
        <w:snapToGrid w:val="0"/>
        <w:spacing w:line="500" w:lineRule="exact"/>
        <w:ind w:left="141" w:leftChars="67" w:firstLine="0"/>
        <w:rPr>
          <w:rFonts w:ascii="微软雅黑" w:hAnsi="微软雅黑" w:eastAsia="微软雅黑"/>
          <w:sz w:val="24"/>
        </w:rPr>
      </w:pPr>
      <w:r>
        <w:rPr>
          <w:rFonts w:hint="eastAsia" w:ascii="微软雅黑" w:hAnsi="微软雅黑" w:eastAsia="微软雅黑"/>
          <w:sz w:val="24"/>
        </w:rPr>
        <w:t xml:space="preserve">电机过载保护 </w:t>
      </w:r>
    </w:p>
    <w:p>
      <w:pPr>
        <w:keepNext w:val="0"/>
        <w:keepLines w:val="0"/>
        <w:pageBreakBefore w:val="0"/>
        <w:widowControl w:val="0"/>
        <w:numPr>
          <w:ilvl w:val="0"/>
          <w:numId w:val="10"/>
        </w:numPr>
        <w:tabs>
          <w:tab w:val="left" w:pos="851"/>
          <w:tab w:val="clear" w:pos="1680"/>
        </w:tabs>
        <w:kinsoku/>
        <w:wordWrap/>
        <w:overflowPunct/>
        <w:topLinePunct w:val="0"/>
        <w:autoSpaceDE/>
        <w:autoSpaceDN/>
        <w:bidi w:val="0"/>
        <w:snapToGrid w:val="0"/>
        <w:spacing w:line="500" w:lineRule="exact"/>
        <w:ind w:left="141" w:leftChars="67" w:firstLine="0"/>
        <w:rPr>
          <w:rFonts w:ascii="微软雅黑" w:hAnsi="微软雅黑" w:eastAsia="微软雅黑"/>
          <w:sz w:val="24"/>
        </w:rPr>
      </w:pPr>
      <w:r>
        <w:rPr>
          <w:rFonts w:hint="eastAsia" w:ascii="微软雅黑" w:hAnsi="微软雅黑" w:eastAsia="微软雅黑"/>
          <w:sz w:val="24"/>
        </w:rPr>
        <w:t xml:space="preserve">防频繁启动自动保护功能 </w:t>
      </w:r>
    </w:p>
    <w:p>
      <w:pPr>
        <w:pStyle w:val="56"/>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left="0" w:firstLine="0" w:firstLineChars="0"/>
        <w:rPr>
          <w:rFonts w:ascii="微软雅黑" w:hAnsi="微软雅黑" w:eastAsia="微软雅黑"/>
          <w:color w:val="000000"/>
          <w:sz w:val="24"/>
        </w:rPr>
      </w:pPr>
      <w:r>
        <w:rPr>
          <w:rFonts w:hint="eastAsia" w:ascii="微软雅黑" w:hAnsi="微软雅黑" w:eastAsia="微软雅黑"/>
          <w:color w:val="000000"/>
          <w:sz w:val="24"/>
        </w:rPr>
        <w:t>机组具有先进的防喘振措施，并详细说明其工作原理。</w:t>
      </w:r>
    </w:p>
    <w:p>
      <w:pPr>
        <w:pStyle w:val="39"/>
        <w:keepNext w:val="0"/>
        <w:keepLines w:val="0"/>
        <w:pageBreakBefore w:val="0"/>
        <w:widowControl w:val="0"/>
        <w:kinsoku/>
        <w:wordWrap/>
        <w:overflowPunct/>
        <w:topLinePunct w:val="0"/>
        <w:autoSpaceDE/>
        <w:autoSpaceDN/>
        <w:bidi w:val="0"/>
        <w:snapToGrid w:val="0"/>
        <w:spacing w:line="500" w:lineRule="exact"/>
        <w:ind w:left="142" w:firstLine="0" w:firstLineChars="0"/>
        <w:rPr>
          <w:rFonts w:ascii="微软雅黑" w:hAnsi="微软雅黑" w:eastAsia="微软雅黑"/>
          <w:b/>
          <w:sz w:val="24"/>
          <w:szCs w:val="24"/>
        </w:rPr>
      </w:pPr>
      <w:r>
        <w:rPr>
          <w:rFonts w:hint="eastAsia" w:ascii="微软雅黑" w:hAnsi="微软雅黑" w:eastAsia="微软雅黑"/>
          <w:b/>
          <w:sz w:val="24"/>
          <w:szCs w:val="24"/>
        </w:rPr>
        <w:t>2.4电源</w:t>
      </w:r>
    </w:p>
    <w:p>
      <w:pPr>
        <w:keepNext w:val="0"/>
        <w:keepLines w:val="0"/>
        <w:pageBreakBefore w:val="0"/>
        <w:widowControl w:val="0"/>
        <w:kinsoku/>
        <w:wordWrap/>
        <w:overflowPunct/>
        <w:topLinePunct w:val="0"/>
        <w:autoSpaceDE/>
        <w:autoSpaceDN/>
        <w:bidi w:val="0"/>
        <w:adjustRightInd w:val="0"/>
        <w:snapToGrid w:val="0"/>
        <w:spacing w:line="500" w:lineRule="exact"/>
        <w:rPr>
          <w:rFonts w:hint="eastAsia" w:ascii="微软雅黑" w:hAnsi="微软雅黑" w:eastAsia="微软雅黑"/>
          <w:sz w:val="24"/>
          <w:lang w:eastAsia="zh-CN"/>
        </w:rPr>
      </w:pPr>
      <w:r>
        <w:rPr>
          <w:rFonts w:hint="eastAsia" w:ascii="微软雅黑" w:hAnsi="微软雅黑" w:eastAsia="微软雅黑"/>
          <w:sz w:val="24"/>
        </w:rPr>
        <w:t>2.4.1、AC10KV</w:t>
      </w:r>
      <w:r>
        <w:rPr>
          <w:rFonts w:hint="eastAsia" w:ascii="微软雅黑" w:hAnsi="微软雅黑" w:eastAsia="微软雅黑"/>
          <w:sz w:val="24"/>
          <w:lang w:val="en-US" w:eastAsia="zh-CN"/>
        </w:rPr>
        <w:t xml:space="preserve"> </w:t>
      </w:r>
      <w:r>
        <w:rPr>
          <w:rFonts w:hint="eastAsia" w:ascii="微软雅黑" w:hAnsi="微软雅黑" w:eastAsia="微软雅黑"/>
          <w:sz w:val="24"/>
        </w:rPr>
        <w:t> 3相</w:t>
      </w:r>
      <w:r>
        <w:rPr>
          <w:rFonts w:hint="eastAsia" w:ascii="微软雅黑" w:hAnsi="微软雅黑" w:eastAsia="微软雅黑"/>
          <w:sz w:val="24"/>
          <w:lang w:val="en-US" w:eastAsia="zh-CN"/>
        </w:rPr>
        <w:t xml:space="preserve"> </w:t>
      </w:r>
      <w:r>
        <w:rPr>
          <w:rFonts w:hint="eastAsia" w:ascii="微软雅黑" w:hAnsi="微软雅黑" w:eastAsia="微软雅黑"/>
          <w:sz w:val="24"/>
        </w:rPr>
        <w:t>50HZ</w:t>
      </w:r>
    </w:p>
    <w:p>
      <w:pPr>
        <w:keepNext w:val="0"/>
        <w:keepLines w:val="0"/>
        <w:pageBreakBefore w:val="0"/>
        <w:widowControl w:val="0"/>
        <w:kinsoku/>
        <w:wordWrap/>
        <w:overflowPunct/>
        <w:topLinePunct w:val="0"/>
        <w:autoSpaceDE/>
        <w:autoSpaceDN/>
        <w:bidi w:val="0"/>
        <w:adjustRightInd w:val="0"/>
        <w:snapToGrid w:val="0"/>
        <w:spacing w:line="500" w:lineRule="exact"/>
        <w:rPr>
          <w:rFonts w:ascii="微软雅黑" w:hAnsi="微软雅黑" w:eastAsia="微软雅黑"/>
          <w:color w:val="auto"/>
          <w:sz w:val="24"/>
        </w:rPr>
      </w:pPr>
      <w:r>
        <w:rPr>
          <w:rFonts w:hint="eastAsia" w:ascii="微软雅黑" w:hAnsi="微软雅黑" w:eastAsia="微软雅黑"/>
          <w:sz w:val="24"/>
        </w:rPr>
        <w:t>2.4.2、独立电机启动柜由制造商负责提供</w:t>
      </w:r>
      <w:r>
        <w:rPr>
          <w:rFonts w:hint="eastAsia" w:ascii="微软雅黑" w:hAnsi="微软雅黑" w:eastAsia="微软雅黑"/>
          <w:color w:val="auto"/>
          <w:sz w:val="24"/>
          <w:lang w:eastAsia="zh-CN"/>
        </w:rPr>
        <w:t>，</w:t>
      </w:r>
      <w:r>
        <w:rPr>
          <w:rFonts w:hint="eastAsia" w:ascii="微软雅黑" w:hAnsi="微软雅黑" w:eastAsia="微软雅黑"/>
          <w:color w:val="auto"/>
          <w:sz w:val="24"/>
          <w:lang w:val="en-US" w:eastAsia="zh-CN"/>
        </w:rPr>
        <w:t>长度约30m。</w:t>
      </w:r>
      <w:r>
        <w:rPr>
          <w:rFonts w:hint="eastAsia" w:ascii="微软雅黑" w:hAnsi="微软雅黑" w:eastAsia="微软雅黑"/>
          <w:color w:val="auto"/>
          <w:sz w:val="24"/>
        </w:rPr>
        <w:t>（启动柜与主机之间的所有连线由</w:t>
      </w:r>
      <w:r>
        <w:rPr>
          <w:rFonts w:hint="eastAsia" w:ascii="微软雅黑" w:hAnsi="微软雅黑" w:eastAsia="微软雅黑"/>
          <w:color w:val="auto"/>
          <w:sz w:val="24"/>
          <w:lang w:val="en-US" w:eastAsia="zh-CN"/>
        </w:rPr>
        <w:t>投</w:t>
      </w:r>
      <w:r>
        <w:rPr>
          <w:rFonts w:hint="eastAsia" w:ascii="微软雅黑" w:hAnsi="微软雅黑" w:eastAsia="微软雅黑"/>
          <w:color w:val="auto"/>
          <w:sz w:val="24"/>
        </w:rPr>
        <w:t>标方负责）。</w:t>
      </w:r>
    </w:p>
    <w:p>
      <w:pPr>
        <w:pStyle w:val="39"/>
        <w:keepNext w:val="0"/>
        <w:keepLines w:val="0"/>
        <w:pageBreakBefore w:val="0"/>
        <w:widowControl w:val="0"/>
        <w:numPr>
          <w:ilvl w:val="0"/>
          <w:numId w:val="4"/>
        </w:numPr>
        <w:kinsoku/>
        <w:wordWrap/>
        <w:overflowPunct/>
        <w:topLinePunct w:val="0"/>
        <w:autoSpaceDE/>
        <w:autoSpaceDN/>
        <w:bidi w:val="0"/>
        <w:snapToGrid w:val="0"/>
        <w:spacing w:line="500" w:lineRule="exact"/>
        <w:ind w:left="142" w:firstLine="0" w:firstLineChars="0"/>
        <w:rPr>
          <w:rFonts w:ascii="微软雅黑" w:hAnsi="微软雅黑" w:eastAsia="微软雅黑"/>
          <w:b/>
          <w:sz w:val="24"/>
          <w:szCs w:val="24"/>
        </w:rPr>
      </w:pPr>
      <w:r>
        <w:rPr>
          <w:rFonts w:hint="eastAsia" w:ascii="微软雅黑" w:hAnsi="微软雅黑" w:eastAsia="微软雅黑"/>
          <w:b/>
          <w:sz w:val="24"/>
          <w:szCs w:val="24"/>
        </w:rPr>
        <w:t>其他要求：</w:t>
      </w:r>
    </w:p>
    <w:p>
      <w:pPr>
        <w:keepNext w:val="0"/>
        <w:keepLines w:val="0"/>
        <w:pageBreakBefore w:val="0"/>
        <w:widowControl w:val="0"/>
        <w:numPr>
          <w:ilvl w:val="0"/>
          <w:numId w:val="11"/>
        </w:numPr>
        <w:tabs>
          <w:tab w:val="left" w:pos="0"/>
          <w:tab w:val="clear" w:pos="425"/>
        </w:tabs>
        <w:kinsoku/>
        <w:wordWrap/>
        <w:overflowPunct/>
        <w:topLinePunct w:val="0"/>
        <w:autoSpaceDE/>
        <w:autoSpaceDN/>
        <w:bidi w:val="0"/>
        <w:adjustRightInd w:val="0"/>
        <w:snapToGrid w:val="0"/>
        <w:spacing w:line="500" w:lineRule="exact"/>
        <w:ind w:left="0" w:firstLine="1"/>
        <w:jc w:val="left"/>
        <w:rPr>
          <w:rFonts w:ascii="微软雅黑" w:hAnsi="微软雅黑" w:eastAsia="微软雅黑"/>
          <w:sz w:val="24"/>
        </w:rPr>
      </w:pPr>
      <w:r>
        <w:rPr>
          <w:rFonts w:hint="eastAsia" w:ascii="微软雅黑" w:hAnsi="微软雅黑" w:eastAsia="微软雅黑"/>
          <w:sz w:val="24"/>
        </w:rPr>
        <w:t>投标机组</w:t>
      </w:r>
      <w:r>
        <w:rPr>
          <w:rFonts w:hint="eastAsia" w:ascii="微软雅黑" w:hAnsi="微软雅黑" w:eastAsia="微软雅黑"/>
          <w:sz w:val="24"/>
          <w:lang w:val="en-US" w:eastAsia="zh-CN"/>
        </w:rPr>
        <w:t>保温由</w:t>
      </w:r>
      <w:r>
        <w:rPr>
          <w:rFonts w:hint="eastAsia" w:ascii="微软雅黑" w:hAnsi="微软雅黑" w:eastAsia="微软雅黑"/>
          <w:sz w:val="24"/>
        </w:rPr>
        <w:t>制造商负责。</w:t>
      </w:r>
    </w:p>
    <w:p>
      <w:pPr>
        <w:keepNext w:val="0"/>
        <w:keepLines w:val="0"/>
        <w:pageBreakBefore w:val="0"/>
        <w:widowControl w:val="0"/>
        <w:numPr>
          <w:ilvl w:val="0"/>
          <w:numId w:val="11"/>
        </w:numPr>
        <w:tabs>
          <w:tab w:val="left" w:pos="0"/>
          <w:tab w:val="left" w:pos="142"/>
          <w:tab w:val="clear" w:pos="425"/>
        </w:tabs>
        <w:kinsoku/>
        <w:wordWrap/>
        <w:overflowPunct/>
        <w:topLinePunct w:val="0"/>
        <w:autoSpaceDE/>
        <w:autoSpaceDN/>
        <w:bidi w:val="0"/>
        <w:adjustRightInd w:val="0"/>
        <w:snapToGrid w:val="0"/>
        <w:spacing w:line="500" w:lineRule="exact"/>
        <w:ind w:left="0" w:right="-2" w:firstLine="1"/>
        <w:jc w:val="left"/>
        <w:rPr>
          <w:rFonts w:ascii="微软雅黑" w:hAnsi="微软雅黑" w:eastAsia="微软雅黑"/>
          <w:sz w:val="24"/>
        </w:rPr>
      </w:pPr>
      <w:r>
        <w:rPr>
          <w:rFonts w:hint="eastAsia" w:ascii="微软雅黑" w:hAnsi="微软雅黑" w:eastAsia="微软雅黑"/>
          <w:sz w:val="24"/>
        </w:rPr>
        <w:t>制造商提供的设备包括机组设备及所有机组内部接管、接线、减震装置等。</w:t>
      </w:r>
    </w:p>
    <w:p>
      <w:pPr>
        <w:keepNext w:val="0"/>
        <w:keepLines w:val="0"/>
        <w:pageBreakBefore w:val="0"/>
        <w:widowControl w:val="0"/>
        <w:numPr>
          <w:ilvl w:val="0"/>
          <w:numId w:val="11"/>
        </w:numPr>
        <w:tabs>
          <w:tab w:val="left" w:pos="284"/>
          <w:tab w:val="clear" w:pos="425"/>
        </w:tabs>
        <w:kinsoku/>
        <w:wordWrap/>
        <w:overflowPunct/>
        <w:topLinePunct w:val="0"/>
        <w:autoSpaceDE/>
        <w:autoSpaceDN/>
        <w:bidi w:val="0"/>
        <w:adjustRightInd w:val="0"/>
        <w:snapToGrid w:val="0"/>
        <w:spacing w:line="500" w:lineRule="exact"/>
        <w:ind w:left="284"/>
        <w:jc w:val="left"/>
        <w:rPr>
          <w:rFonts w:ascii="微软雅黑" w:hAnsi="微软雅黑" w:eastAsia="微软雅黑"/>
          <w:sz w:val="24"/>
        </w:rPr>
      </w:pPr>
      <w:r>
        <w:rPr>
          <w:rFonts w:hint="eastAsia" w:ascii="微软雅黑" w:hAnsi="微软雅黑" w:eastAsia="微软雅黑"/>
          <w:sz w:val="24"/>
        </w:rPr>
        <w:t>提供整机满负荷运行时的噪音值。</w:t>
      </w:r>
    </w:p>
    <w:p>
      <w:pPr>
        <w:pStyle w:val="39"/>
        <w:keepNext w:val="0"/>
        <w:keepLines w:val="0"/>
        <w:pageBreakBefore w:val="0"/>
        <w:widowControl w:val="0"/>
        <w:numPr>
          <w:ilvl w:val="0"/>
          <w:numId w:val="4"/>
        </w:numPr>
        <w:kinsoku/>
        <w:wordWrap/>
        <w:overflowPunct/>
        <w:topLinePunct w:val="0"/>
        <w:autoSpaceDE/>
        <w:autoSpaceDN/>
        <w:bidi w:val="0"/>
        <w:snapToGrid w:val="0"/>
        <w:spacing w:line="500" w:lineRule="exact"/>
        <w:ind w:left="142" w:firstLine="0" w:firstLineChars="0"/>
        <w:rPr>
          <w:rFonts w:ascii="微软雅黑" w:hAnsi="微软雅黑" w:eastAsia="微软雅黑"/>
          <w:b/>
          <w:sz w:val="24"/>
          <w:szCs w:val="24"/>
        </w:rPr>
      </w:pPr>
      <w:r>
        <w:rPr>
          <w:rFonts w:hint="eastAsia" w:ascii="微软雅黑" w:hAnsi="微软雅黑" w:eastAsia="微软雅黑"/>
          <w:b/>
          <w:sz w:val="24"/>
          <w:szCs w:val="24"/>
        </w:rPr>
        <w:t>4 技术服务</w:t>
      </w:r>
      <w:bookmarkEnd w:id="157"/>
    </w:p>
    <w:p>
      <w:pPr>
        <w:pStyle w:val="39"/>
        <w:keepNext w:val="0"/>
        <w:keepLines w:val="0"/>
        <w:pageBreakBefore w:val="0"/>
        <w:widowControl w:val="0"/>
        <w:kinsoku/>
        <w:wordWrap/>
        <w:overflowPunct/>
        <w:topLinePunct w:val="0"/>
        <w:autoSpaceDE/>
        <w:autoSpaceDN/>
        <w:bidi w:val="0"/>
        <w:snapToGrid w:val="0"/>
        <w:spacing w:line="500" w:lineRule="exact"/>
        <w:ind w:left="142" w:firstLine="0" w:firstLineChars="0"/>
        <w:rPr>
          <w:rFonts w:ascii="微软雅黑" w:hAnsi="微软雅黑" w:eastAsia="微软雅黑"/>
          <w:b/>
          <w:sz w:val="24"/>
          <w:szCs w:val="24"/>
        </w:rPr>
      </w:pPr>
      <w:bookmarkStart w:id="158" w:name="_Toc441053371"/>
      <w:r>
        <w:rPr>
          <w:rFonts w:hint="eastAsia" w:ascii="微软雅黑" w:hAnsi="微软雅黑" w:eastAsia="微软雅黑"/>
          <w:b/>
          <w:sz w:val="24"/>
          <w:szCs w:val="24"/>
        </w:rPr>
        <w:t>4</w:t>
      </w:r>
      <w:r>
        <w:rPr>
          <w:rFonts w:ascii="微软雅黑" w:hAnsi="微软雅黑" w:eastAsia="微软雅黑"/>
          <w:b/>
          <w:sz w:val="24"/>
          <w:szCs w:val="24"/>
        </w:rPr>
        <w:t xml:space="preserve">.1 </w:t>
      </w:r>
      <w:r>
        <w:rPr>
          <w:rFonts w:hint="eastAsia" w:ascii="微软雅黑" w:hAnsi="微软雅黑" w:eastAsia="微软雅黑"/>
          <w:b/>
          <w:sz w:val="24"/>
          <w:szCs w:val="24"/>
        </w:rPr>
        <w:t>技术资料</w:t>
      </w:r>
      <w:bookmarkEnd w:id="158"/>
    </w:p>
    <w:p>
      <w:pPr>
        <w:keepNext w:val="0"/>
        <w:keepLines w:val="0"/>
        <w:pageBreakBefore w:val="0"/>
        <w:widowControl w:val="0"/>
        <w:kinsoku/>
        <w:wordWrap/>
        <w:overflowPunct/>
        <w:topLinePunct w:val="0"/>
        <w:autoSpaceDE/>
        <w:autoSpaceDN/>
        <w:bidi w:val="0"/>
        <w:snapToGrid w:val="0"/>
        <w:spacing w:line="500" w:lineRule="exact"/>
        <w:ind w:firstLine="480" w:firstLineChars="200"/>
        <w:rPr>
          <w:rFonts w:ascii="微软雅黑" w:hAnsi="微软雅黑" w:eastAsia="微软雅黑"/>
          <w:sz w:val="24"/>
        </w:rPr>
      </w:pPr>
      <w:r>
        <w:rPr>
          <w:rFonts w:hint="eastAsia" w:ascii="微软雅黑" w:hAnsi="微软雅黑" w:eastAsia="微软雅黑"/>
          <w:sz w:val="24"/>
        </w:rPr>
        <w:t>中标后制造</w:t>
      </w:r>
      <w:r>
        <w:rPr>
          <w:rFonts w:ascii="微软雅黑" w:hAnsi="微软雅黑" w:eastAsia="微软雅黑"/>
          <w:sz w:val="24"/>
        </w:rPr>
        <w:t>商在</w:t>
      </w:r>
      <w:r>
        <w:rPr>
          <w:rFonts w:hint="eastAsia" w:ascii="微软雅黑" w:hAnsi="微软雅黑" w:eastAsia="微软雅黑"/>
          <w:color w:val="auto"/>
          <w:sz w:val="24"/>
        </w:rPr>
        <w:t>15</w:t>
      </w:r>
      <w:r>
        <w:rPr>
          <w:rFonts w:ascii="微软雅黑" w:hAnsi="微软雅黑" w:eastAsia="微软雅黑"/>
          <w:color w:val="auto"/>
          <w:sz w:val="24"/>
        </w:rPr>
        <w:t>个</w:t>
      </w:r>
      <w:r>
        <w:rPr>
          <w:rFonts w:ascii="微软雅黑" w:hAnsi="微软雅黑" w:eastAsia="微软雅黑"/>
          <w:sz w:val="24"/>
        </w:rPr>
        <w:t xml:space="preserve">工作日内，向招标方提供供货产品的全套技术资料，包括但不限于以下文件： </w:t>
      </w:r>
    </w:p>
    <w:p>
      <w:pPr>
        <w:pStyle w:val="56"/>
        <w:keepNext w:val="0"/>
        <w:keepLines w:val="0"/>
        <w:pageBreakBefore w:val="0"/>
        <w:widowControl w:val="0"/>
        <w:numPr>
          <w:ilvl w:val="0"/>
          <w:numId w:val="12"/>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bookmarkStart w:id="159" w:name="_Toc393289621"/>
      <w:bookmarkStart w:id="160" w:name="_Toc441053372"/>
      <w:r>
        <w:rPr>
          <w:rFonts w:hint="eastAsia" w:ascii="微软雅黑" w:hAnsi="微软雅黑" w:eastAsia="微软雅黑"/>
          <w:color w:val="000000"/>
          <w:sz w:val="24"/>
        </w:rPr>
        <w:t>制冷机组使用说明书；</w:t>
      </w:r>
    </w:p>
    <w:p>
      <w:pPr>
        <w:pStyle w:val="56"/>
        <w:keepNext w:val="0"/>
        <w:keepLines w:val="0"/>
        <w:pageBreakBefore w:val="0"/>
        <w:widowControl w:val="0"/>
        <w:numPr>
          <w:ilvl w:val="0"/>
          <w:numId w:val="12"/>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制冷机组外形图，含进出水管法兰定位尺寸；</w:t>
      </w:r>
    </w:p>
    <w:p>
      <w:pPr>
        <w:pStyle w:val="56"/>
        <w:keepNext w:val="0"/>
        <w:keepLines w:val="0"/>
        <w:pageBreakBefore w:val="0"/>
        <w:widowControl w:val="0"/>
        <w:numPr>
          <w:ilvl w:val="0"/>
          <w:numId w:val="12"/>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制冷机组基础图；</w:t>
      </w:r>
    </w:p>
    <w:p>
      <w:pPr>
        <w:pStyle w:val="56"/>
        <w:keepNext w:val="0"/>
        <w:keepLines w:val="0"/>
        <w:pageBreakBefore w:val="0"/>
        <w:widowControl w:val="0"/>
        <w:numPr>
          <w:ilvl w:val="0"/>
          <w:numId w:val="12"/>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提供性能测试报告表样；</w:t>
      </w:r>
    </w:p>
    <w:p>
      <w:pPr>
        <w:pStyle w:val="39"/>
        <w:keepNext w:val="0"/>
        <w:keepLines w:val="0"/>
        <w:pageBreakBefore w:val="0"/>
        <w:widowControl w:val="0"/>
        <w:kinsoku/>
        <w:wordWrap/>
        <w:overflowPunct/>
        <w:topLinePunct w:val="0"/>
        <w:autoSpaceDE/>
        <w:autoSpaceDN/>
        <w:bidi w:val="0"/>
        <w:snapToGrid w:val="0"/>
        <w:spacing w:line="500" w:lineRule="exact"/>
        <w:ind w:left="142" w:firstLine="0" w:firstLineChars="0"/>
        <w:rPr>
          <w:rFonts w:ascii="微软雅黑" w:hAnsi="微软雅黑" w:eastAsia="微软雅黑"/>
          <w:b/>
          <w:sz w:val="24"/>
          <w:szCs w:val="24"/>
        </w:rPr>
      </w:pPr>
      <w:r>
        <w:rPr>
          <w:rFonts w:hint="eastAsia" w:ascii="微软雅黑" w:hAnsi="微软雅黑" w:eastAsia="微软雅黑"/>
          <w:b/>
          <w:sz w:val="24"/>
          <w:szCs w:val="24"/>
        </w:rPr>
        <w:t>4.2配合</w:t>
      </w:r>
      <w:r>
        <w:rPr>
          <w:rFonts w:ascii="微软雅黑" w:hAnsi="微软雅黑" w:eastAsia="微软雅黑"/>
          <w:b/>
          <w:sz w:val="24"/>
          <w:szCs w:val="24"/>
        </w:rPr>
        <w:t>安装</w:t>
      </w:r>
      <w:bookmarkEnd w:id="159"/>
      <w:r>
        <w:rPr>
          <w:rFonts w:hint="eastAsia" w:ascii="微软雅黑" w:hAnsi="微软雅黑" w:eastAsia="微软雅黑"/>
          <w:b/>
          <w:sz w:val="24"/>
          <w:szCs w:val="24"/>
        </w:rPr>
        <w:t>调试</w:t>
      </w:r>
      <w:bookmarkEnd w:id="160"/>
    </w:p>
    <w:p>
      <w:pPr>
        <w:pStyle w:val="56"/>
        <w:keepNext w:val="0"/>
        <w:keepLines w:val="0"/>
        <w:pageBreakBefore w:val="0"/>
        <w:widowControl w:val="0"/>
        <w:numPr>
          <w:ilvl w:val="0"/>
          <w:numId w:val="13"/>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机组到货时</w:t>
      </w:r>
      <w:r>
        <w:rPr>
          <w:rFonts w:ascii="微软雅黑" w:hAnsi="微软雅黑" w:eastAsia="微软雅黑"/>
          <w:color w:val="000000"/>
          <w:sz w:val="24"/>
        </w:rPr>
        <w:t>，</w:t>
      </w:r>
      <w:r>
        <w:rPr>
          <w:rFonts w:hint="eastAsia" w:ascii="微软雅黑" w:hAnsi="微软雅黑" w:eastAsia="微软雅黑"/>
          <w:color w:val="000000"/>
          <w:sz w:val="24"/>
        </w:rPr>
        <w:t>制造商</w:t>
      </w:r>
      <w:r>
        <w:rPr>
          <w:rFonts w:ascii="微软雅黑" w:hAnsi="微软雅黑" w:eastAsia="微软雅黑"/>
          <w:color w:val="000000"/>
          <w:sz w:val="24"/>
        </w:rPr>
        <w:t>工程师应与</w:t>
      </w:r>
      <w:r>
        <w:rPr>
          <w:rFonts w:hint="eastAsia" w:ascii="微软雅黑" w:hAnsi="微软雅黑" w:eastAsia="微软雅黑"/>
          <w:color w:val="000000"/>
          <w:sz w:val="24"/>
        </w:rPr>
        <w:t>招标方</w:t>
      </w:r>
      <w:r>
        <w:rPr>
          <w:rFonts w:ascii="微软雅黑" w:hAnsi="微软雅黑" w:eastAsia="微软雅黑"/>
          <w:color w:val="000000"/>
          <w:sz w:val="24"/>
        </w:rPr>
        <w:t>及安装方一起在现场开箱检查已交货的设备，安装方代表人确认设备的完好程度及运输中有无损坏，一旦发现任何缺陷，</w:t>
      </w:r>
      <w:r>
        <w:rPr>
          <w:rFonts w:hint="eastAsia" w:ascii="微软雅黑" w:hAnsi="微软雅黑" w:eastAsia="微软雅黑"/>
          <w:color w:val="000000"/>
          <w:sz w:val="24"/>
        </w:rPr>
        <w:t>制造商</w:t>
      </w:r>
      <w:r>
        <w:rPr>
          <w:rFonts w:ascii="微软雅黑" w:hAnsi="微软雅黑" w:eastAsia="微软雅黑"/>
          <w:color w:val="000000"/>
          <w:sz w:val="24"/>
        </w:rPr>
        <w:t>应立即修理、补充和更换，一切费用由</w:t>
      </w:r>
      <w:r>
        <w:rPr>
          <w:rFonts w:hint="eastAsia" w:ascii="微软雅黑" w:hAnsi="微软雅黑" w:eastAsia="微软雅黑"/>
          <w:color w:val="000000"/>
          <w:sz w:val="24"/>
        </w:rPr>
        <w:t>制造商</w:t>
      </w:r>
      <w:r>
        <w:rPr>
          <w:rFonts w:ascii="微软雅黑" w:hAnsi="微软雅黑" w:eastAsia="微软雅黑"/>
          <w:color w:val="000000"/>
          <w:sz w:val="24"/>
        </w:rPr>
        <w:t>承担。</w:t>
      </w:r>
    </w:p>
    <w:p>
      <w:pPr>
        <w:pStyle w:val="56"/>
        <w:keepNext w:val="0"/>
        <w:keepLines w:val="0"/>
        <w:pageBreakBefore w:val="0"/>
        <w:widowControl w:val="0"/>
        <w:numPr>
          <w:ilvl w:val="0"/>
          <w:numId w:val="13"/>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ascii="微软雅黑" w:hAnsi="微软雅黑" w:eastAsia="微软雅黑"/>
          <w:color w:val="000000"/>
          <w:sz w:val="24"/>
        </w:rPr>
        <w:t>在设备安装之前，</w:t>
      </w:r>
      <w:r>
        <w:rPr>
          <w:rFonts w:hint="eastAsia" w:ascii="微软雅黑" w:hAnsi="微软雅黑" w:eastAsia="微软雅黑"/>
          <w:color w:val="000000"/>
          <w:sz w:val="24"/>
        </w:rPr>
        <w:t>制造商</w:t>
      </w:r>
      <w:r>
        <w:rPr>
          <w:rFonts w:ascii="微软雅黑" w:hAnsi="微软雅黑" w:eastAsia="微软雅黑"/>
          <w:color w:val="000000"/>
          <w:sz w:val="24"/>
        </w:rPr>
        <w:t>应对设备安装处的土建基础进行检查。由于</w:t>
      </w:r>
      <w:r>
        <w:rPr>
          <w:rFonts w:hint="eastAsia" w:ascii="微软雅黑" w:hAnsi="微软雅黑" w:eastAsia="微软雅黑"/>
          <w:color w:val="000000"/>
          <w:sz w:val="24"/>
        </w:rPr>
        <w:t>制造商</w:t>
      </w:r>
      <w:r>
        <w:rPr>
          <w:rFonts w:ascii="微软雅黑" w:hAnsi="微软雅黑" w:eastAsia="微软雅黑"/>
          <w:color w:val="000000"/>
          <w:sz w:val="24"/>
        </w:rPr>
        <w:t>变动安装条件而引起的费用由</w:t>
      </w:r>
      <w:r>
        <w:rPr>
          <w:rFonts w:hint="eastAsia" w:ascii="微软雅黑" w:hAnsi="微软雅黑" w:eastAsia="微软雅黑"/>
          <w:color w:val="000000"/>
          <w:sz w:val="24"/>
        </w:rPr>
        <w:t>制造商</w:t>
      </w:r>
      <w:r>
        <w:rPr>
          <w:rFonts w:ascii="微软雅黑" w:hAnsi="微软雅黑" w:eastAsia="微软雅黑"/>
          <w:color w:val="000000"/>
          <w:sz w:val="24"/>
        </w:rPr>
        <w:t>承担。在整个安装过程中，</w:t>
      </w:r>
      <w:r>
        <w:rPr>
          <w:rFonts w:hint="eastAsia" w:ascii="微软雅黑" w:hAnsi="微软雅黑" w:eastAsia="微软雅黑"/>
          <w:color w:val="000000"/>
          <w:sz w:val="24"/>
        </w:rPr>
        <w:t>制造商</w:t>
      </w:r>
      <w:r>
        <w:rPr>
          <w:rFonts w:ascii="微软雅黑" w:hAnsi="微软雅黑" w:eastAsia="微软雅黑"/>
          <w:color w:val="000000"/>
          <w:sz w:val="24"/>
        </w:rPr>
        <w:t>应派有实践经验的工程技术人员对设备的</w:t>
      </w:r>
      <w:r>
        <w:rPr>
          <w:rFonts w:hint="eastAsia" w:ascii="微软雅黑" w:hAnsi="微软雅黑" w:eastAsia="微软雅黑"/>
          <w:color w:val="000000"/>
          <w:sz w:val="24"/>
        </w:rPr>
        <w:t>安装</w:t>
      </w:r>
      <w:r>
        <w:rPr>
          <w:rFonts w:ascii="微软雅黑" w:hAnsi="微软雅黑" w:eastAsia="微软雅黑"/>
          <w:color w:val="000000"/>
          <w:sz w:val="24"/>
        </w:rPr>
        <w:t>在现场作指导。</w:t>
      </w:r>
      <w:r>
        <w:rPr>
          <w:rFonts w:hint="eastAsia" w:ascii="微软雅黑" w:hAnsi="微软雅黑" w:eastAsia="微软雅黑"/>
          <w:color w:val="000000"/>
          <w:sz w:val="24"/>
        </w:rPr>
        <w:t>制造商</w:t>
      </w:r>
      <w:r>
        <w:rPr>
          <w:rFonts w:ascii="微软雅黑" w:hAnsi="微软雅黑" w:eastAsia="微软雅黑"/>
          <w:color w:val="000000"/>
          <w:sz w:val="24"/>
        </w:rPr>
        <w:t>应与</w:t>
      </w:r>
      <w:r>
        <w:rPr>
          <w:rFonts w:hint="eastAsia" w:ascii="微软雅黑" w:hAnsi="微软雅黑" w:eastAsia="微软雅黑"/>
          <w:color w:val="000000"/>
          <w:sz w:val="24"/>
        </w:rPr>
        <w:t>招标方</w:t>
      </w:r>
      <w:r>
        <w:rPr>
          <w:rFonts w:ascii="微软雅黑" w:hAnsi="微软雅黑" w:eastAsia="微软雅黑"/>
          <w:color w:val="000000"/>
          <w:sz w:val="24"/>
        </w:rPr>
        <w:t>一起检查安装工作，在取得验收证书后，</w:t>
      </w:r>
      <w:r>
        <w:rPr>
          <w:rFonts w:hint="eastAsia" w:ascii="微软雅黑" w:hAnsi="微软雅黑" w:eastAsia="微软雅黑"/>
          <w:color w:val="000000"/>
          <w:sz w:val="24"/>
        </w:rPr>
        <w:t>制造商</w:t>
      </w:r>
      <w:r>
        <w:rPr>
          <w:rFonts w:ascii="微软雅黑" w:hAnsi="微软雅黑" w:eastAsia="微软雅黑"/>
          <w:color w:val="000000"/>
          <w:sz w:val="24"/>
        </w:rPr>
        <w:t>将准备下一步的调试及试运行工作。</w:t>
      </w:r>
    </w:p>
    <w:p>
      <w:pPr>
        <w:pStyle w:val="56"/>
        <w:keepNext w:val="0"/>
        <w:keepLines w:val="0"/>
        <w:pageBreakBefore w:val="0"/>
        <w:widowControl w:val="0"/>
        <w:numPr>
          <w:ilvl w:val="0"/>
          <w:numId w:val="13"/>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制造商</w:t>
      </w:r>
      <w:r>
        <w:rPr>
          <w:rFonts w:ascii="微软雅黑" w:hAnsi="微软雅黑" w:eastAsia="微软雅黑"/>
          <w:color w:val="000000"/>
          <w:sz w:val="24"/>
        </w:rPr>
        <w:t>应在安装前提出安装注意要点，并负责指导安装全过程。</w:t>
      </w:r>
    </w:p>
    <w:p>
      <w:pPr>
        <w:pStyle w:val="56"/>
        <w:keepNext w:val="0"/>
        <w:keepLines w:val="0"/>
        <w:pageBreakBefore w:val="0"/>
        <w:widowControl w:val="0"/>
        <w:numPr>
          <w:ilvl w:val="0"/>
          <w:numId w:val="13"/>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制造商</w:t>
      </w:r>
      <w:r>
        <w:rPr>
          <w:rFonts w:ascii="微软雅黑" w:hAnsi="微软雅黑" w:eastAsia="微软雅黑"/>
          <w:color w:val="000000"/>
          <w:sz w:val="24"/>
        </w:rPr>
        <w:t>应承担安装指导过程中的所有的费用。</w:t>
      </w:r>
    </w:p>
    <w:p>
      <w:pPr>
        <w:pStyle w:val="56"/>
        <w:keepNext w:val="0"/>
        <w:keepLines w:val="0"/>
        <w:pageBreakBefore w:val="0"/>
        <w:widowControl w:val="0"/>
        <w:numPr>
          <w:ilvl w:val="0"/>
          <w:numId w:val="13"/>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ascii="微软雅黑" w:hAnsi="微软雅黑" w:eastAsia="微软雅黑"/>
          <w:color w:val="000000"/>
          <w:sz w:val="24"/>
        </w:rPr>
        <w:t>设备安装结束</w:t>
      </w:r>
      <w:r>
        <w:rPr>
          <w:rFonts w:hint="eastAsia" w:ascii="微软雅黑" w:hAnsi="微软雅黑" w:eastAsia="微软雅黑"/>
          <w:color w:val="000000"/>
          <w:sz w:val="24"/>
        </w:rPr>
        <w:t>，</w:t>
      </w:r>
      <w:r>
        <w:rPr>
          <w:rFonts w:ascii="微软雅黑" w:hAnsi="微软雅黑" w:eastAsia="微软雅黑"/>
          <w:color w:val="000000"/>
          <w:sz w:val="24"/>
        </w:rPr>
        <w:t>相关的土建及配套工程工作也基本结束,此时在</w:t>
      </w:r>
      <w:r>
        <w:rPr>
          <w:rFonts w:hint="eastAsia" w:ascii="微软雅黑" w:hAnsi="微软雅黑" w:eastAsia="微软雅黑"/>
          <w:color w:val="000000"/>
          <w:sz w:val="24"/>
        </w:rPr>
        <w:t>招标方</w:t>
      </w:r>
      <w:r>
        <w:rPr>
          <w:rFonts w:ascii="微软雅黑" w:hAnsi="微软雅黑" w:eastAsia="微软雅黑"/>
          <w:color w:val="000000"/>
          <w:sz w:val="24"/>
        </w:rPr>
        <w:t>同意后</w:t>
      </w:r>
      <w:r>
        <w:rPr>
          <w:rFonts w:hint="eastAsia" w:ascii="微软雅黑" w:hAnsi="微软雅黑" w:eastAsia="微软雅黑"/>
          <w:color w:val="000000"/>
          <w:sz w:val="24"/>
        </w:rPr>
        <w:t>，</w:t>
      </w:r>
      <w:r>
        <w:rPr>
          <w:rFonts w:ascii="微软雅黑" w:hAnsi="微软雅黑" w:eastAsia="微软雅黑"/>
          <w:color w:val="000000"/>
          <w:sz w:val="24"/>
        </w:rPr>
        <w:t>将执行调试和试运行工作</w:t>
      </w:r>
      <w:r>
        <w:rPr>
          <w:rFonts w:hint="eastAsia" w:ascii="微软雅黑" w:hAnsi="微软雅黑" w:eastAsia="微软雅黑"/>
          <w:color w:val="000000"/>
          <w:sz w:val="24"/>
        </w:rPr>
        <w:t>。</w:t>
      </w:r>
    </w:p>
    <w:p>
      <w:pPr>
        <w:pStyle w:val="56"/>
        <w:keepNext w:val="0"/>
        <w:keepLines w:val="0"/>
        <w:pageBreakBefore w:val="0"/>
        <w:widowControl w:val="0"/>
        <w:numPr>
          <w:ilvl w:val="0"/>
          <w:numId w:val="13"/>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制造商</w:t>
      </w:r>
      <w:r>
        <w:rPr>
          <w:rFonts w:ascii="微软雅黑" w:hAnsi="微软雅黑" w:eastAsia="微软雅黑"/>
          <w:color w:val="000000"/>
          <w:sz w:val="24"/>
        </w:rPr>
        <w:t>应派遣有实践经验的工程技术人员与</w:t>
      </w:r>
      <w:r>
        <w:rPr>
          <w:rFonts w:hint="eastAsia" w:ascii="微软雅黑" w:hAnsi="微软雅黑" w:eastAsia="微软雅黑"/>
          <w:color w:val="000000"/>
          <w:sz w:val="24"/>
        </w:rPr>
        <w:t>招标方</w:t>
      </w:r>
      <w:r>
        <w:rPr>
          <w:rFonts w:ascii="微软雅黑" w:hAnsi="微软雅黑" w:eastAsia="微软雅黑"/>
          <w:color w:val="000000"/>
          <w:sz w:val="24"/>
        </w:rPr>
        <w:t>及设备安装单位一起进行设备的调试及试运行工作。</w:t>
      </w:r>
    </w:p>
    <w:p>
      <w:pPr>
        <w:pStyle w:val="56"/>
        <w:keepNext w:val="0"/>
        <w:keepLines w:val="0"/>
        <w:pageBreakBefore w:val="0"/>
        <w:widowControl w:val="0"/>
        <w:numPr>
          <w:ilvl w:val="0"/>
          <w:numId w:val="13"/>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ascii="微软雅黑" w:hAnsi="微软雅黑" w:eastAsia="微软雅黑"/>
          <w:color w:val="000000"/>
          <w:sz w:val="24"/>
        </w:rPr>
        <w:t>如在此阶段</w:t>
      </w:r>
      <w:r>
        <w:rPr>
          <w:rFonts w:hint="eastAsia" w:ascii="微软雅黑" w:hAnsi="微软雅黑" w:eastAsia="微软雅黑"/>
          <w:color w:val="000000"/>
          <w:sz w:val="24"/>
        </w:rPr>
        <w:t>，</w:t>
      </w:r>
      <w:r>
        <w:rPr>
          <w:rFonts w:ascii="微软雅黑" w:hAnsi="微软雅黑" w:eastAsia="微软雅黑"/>
          <w:color w:val="000000"/>
          <w:sz w:val="24"/>
        </w:rPr>
        <w:t>因设备自身质量问题或安装指导出现差错</w:t>
      </w:r>
      <w:r>
        <w:rPr>
          <w:rFonts w:hint="eastAsia" w:ascii="微软雅黑" w:hAnsi="微软雅黑" w:eastAsia="微软雅黑"/>
          <w:color w:val="000000"/>
          <w:sz w:val="24"/>
        </w:rPr>
        <w:t>，制造商</w:t>
      </w:r>
      <w:r>
        <w:rPr>
          <w:rFonts w:ascii="微软雅黑" w:hAnsi="微软雅黑" w:eastAsia="微软雅黑"/>
          <w:color w:val="000000"/>
          <w:sz w:val="24"/>
        </w:rPr>
        <w:t>应全权负责消除差错直到</w:t>
      </w:r>
      <w:r>
        <w:rPr>
          <w:rFonts w:hint="eastAsia" w:ascii="微软雅黑" w:hAnsi="微软雅黑" w:eastAsia="微软雅黑"/>
          <w:color w:val="000000"/>
          <w:sz w:val="24"/>
        </w:rPr>
        <w:t>招标方</w:t>
      </w:r>
      <w:r>
        <w:rPr>
          <w:rFonts w:ascii="微软雅黑" w:hAnsi="微软雅黑" w:eastAsia="微软雅黑"/>
          <w:color w:val="000000"/>
          <w:sz w:val="24"/>
        </w:rPr>
        <w:t>满意</w:t>
      </w:r>
      <w:r>
        <w:rPr>
          <w:rFonts w:hint="eastAsia" w:ascii="微软雅黑" w:hAnsi="微软雅黑" w:eastAsia="微软雅黑"/>
          <w:color w:val="000000"/>
          <w:sz w:val="24"/>
        </w:rPr>
        <w:t>，</w:t>
      </w:r>
      <w:r>
        <w:rPr>
          <w:rFonts w:ascii="微软雅黑" w:hAnsi="微软雅黑" w:eastAsia="微软雅黑"/>
          <w:color w:val="000000"/>
          <w:sz w:val="24"/>
        </w:rPr>
        <w:t>并应按合同条款中规定执行。</w:t>
      </w:r>
    </w:p>
    <w:p>
      <w:pPr>
        <w:pStyle w:val="56"/>
        <w:keepNext w:val="0"/>
        <w:keepLines w:val="0"/>
        <w:pageBreakBefore w:val="0"/>
        <w:widowControl w:val="0"/>
        <w:numPr>
          <w:ilvl w:val="0"/>
          <w:numId w:val="13"/>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ascii="微软雅黑" w:hAnsi="微软雅黑" w:eastAsia="微软雅黑"/>
          <w:color w:val="000000"/>
          <w:sz w:val="24"/>
        </w:rPr>
        <w:t>在调试期间</w:t>
      </w:r>
      <w:r>
        <w:rPr>
          <w:rFonts w:hint="eastAsia" w:ascii="微软雅黑" w:hAnsi="微软雅黑" w:eastAsia="微软雅黑"/>
          <w:color w:val="000000"/>
          <w:sz w:val="24"/>
        </w:rPr>
        <w:t>制造商</w:t>
      </w:r>
      <w:r>
        <w:rPr>
          <w:rFonts w:ascii="微软雅黑" w:hAnsi="微软雅黑" w:eastAsia="微软雅黑"/>
          <w:color w:val="000000"/>
          <w:sz w:val="24"/>
        </w:rPr>
        <w:t>应在现场负责测试和调试，以检测其设计、制造、运行效果等。并提供</w:t>
      </w:r>
      <w:r>
        <w:rPr>
          <w:rFonts w:hint="eastAsia" w:ascii="微软雅黑" w:hAnsi="微软雅黑" w:eastAsia="微软雅黑"/>
          <w:color w:val="000000"/>
          <w:sz w:val="24"/>
        </w:rPr>
        <w:t>标准</w:t>
      </w:r>
      <w:r>
        <w:rPr>
          <w:rFonts w:ascii="微软雅黑" w:hAnsi="微软雅黑" w:eastAsia="微软雅黑"/>
          <w:color w:val="000000"/>
          <w:sz w:val="24"/>
        </w:rPr>
        <w:t>测试和调试所需的工具、材料、仪器和劳务人员，费用由</w:t>
      </w:r>
      <w:r>
        <w:rPr>
          <w:rFonts w:hint="eastAsia" w:ascii="微软雅黑" w:hAnsi="微软雅黑" w:eastAsia="微软雅黑"/>
          <w:color w:val="000000"/>
          <w:sz w:val="24"/>
        </w:rPr>
        <w:t>制造商</w:t>
      </w:r>
      <w:r>
        <w:rPr>
          <w:rFonts w:ascii="微软雅黑" w:hAnsi="微软雅黑" w:eastAsia="微软雅黑"/>
          <w:color w:val="000000"/>
          <w:sz w:val="24"/>
        </w:rPr>
        <w:t>负责。所用仪器、仪表应经检定合格并在有效期内。</w:t>
      </w:r>
    </w:p>
    <w:p>
      <w:pPr>
        <w:pStyle w:val="56"/>
        <w:keepNext w:val="0"/>
        <w:keepLines w:val="0"/>
        <w:pageBreakBefore w:val="0"/>
        <w:widowControl w:val="0"/>
        <w:numPr>
          <w:ilvl w:val="0"/>
          <w:numId w:val="13"/>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制造商</w:t>
      </w:r>
      <w:r>
        <w:rPr>
          <w:rFonts w:ascii="微软雅黑" w:hAnsi="微软雅黑" w:eastAsia="微软雅黑"/>
          <w:color w:val="000000"/>
          <w:sz w:val="24"/>
        </w:rPr>
        <w:t>须将测试和调试方法及记录表格</w:t>
      </w:r>
      <w:r>
        <w:rPr>
          <w:rFonts w:hint="eastAsia" w:ascii="微软雅黑" w:hAnsi="微软雅黑" w:eastAsia="微软雅黑"/>
          <w:color w:val="000000"/>
          <w:sz w:val="24"/>
        </w:rPr>
        <w:t>随机组发货</w:t>
      </w:r>
      <w:r>
        <w:rPr>
          <w:rFonts w:ascii="微软雅黑" w:hAnsi="微软雅黑" w:eastAsia="微软雅黑"/>
          <w:color w:val="000000"/>
          <w:sz w:val="24"/>
        </w:rPr>
        <w:t>提交给</w:t>
      </w:r>
      <w:r>
        <w:rPr>
          <w:rFonts w:hint="eastAsia" w:ascii="微软雅黑" w:hAnsi="微软雅黑" w:eastAsia="微软雅黑"/>
          <w:color w:val="000000"/>
          <w:sz w:val="24"/>
        </w:rPr>
        <w:t>招标方</w:t>
      </w:r>
      <w:r>
        <w:rPr>
          <w:rFonts w:ascii="微软雅黑" w:hAnsi="微软雅黑" w:eastAsia="微软雅黑"/>
          <w:color w:val="000000"/>
          <w:sz w:val="24"/>
        </w:rPr>
        <w:t>，请</w:t>
      </w:r>
      <w:r>
        <w:rPr>
          <w:rFonts w:hint="eastAsia" w:ascii="微软雅黑" w:hAnsi="微软雅黑" w:eastAsia="微软雅黑"/>
          <w:color w:val="000000"/>
          <w:sz w:val="24"/>
        </w:rPr>
        <w:t>招标方</w:t>
      </w:r>
      <w:r>
        <w:rPr>
          <w:rFonts w:ascii="微软雅黑" w:hAnsi="微软雅黑" w:eastAsia="微软雅黑"/>
          <w:color w:val="000000"/>
          <w:sz w:val="24"/>
        </w:rPr>
        <w:t>认可后方可执行。</w:t>
      </w:r>
    </w:p>
    <w:p>
      <w:pPr>
        <w:pStyle w:val="56"/>
        <w:keepNext w:val="0"/>
        <w:keepLines w:val="0"/>
        <w:pageBreakBefore w:val="0"/>
        <w:widowControl w:val="0"/>
        <w:numPr>
          <w:ilvl w:val="0"/>
          <w:numId w:val="13"/>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ascii="微软雅黑" w:hAnsi="微软雅黑" w:eastAsia="微软雅黑"/>
          <w:color w:val="000000"/>
          <w:sz w:val="24"/>
        </w:rPr>
        <w:t>部分或全部测试需根据季节实际情况在安装期内或后进行。在达到所有要求的技术条件后，由</w:t>
      </w:r>
      <w:r>
        <w:rPr>
          <w:rFonts w:hint="eastAsia" w:ascii="微软雅黑" w:hAnsi="微软雅黑" w:eastAsia="微软雅黑"/>
          <w:color w:val="000000"/>
          <w:sz w:val="24"/>
        </w:rPr>
        <w:t>招标方</w:t>
      </w:r>
      <w:r>
        <w:rPr>
          <w:rFonts w:ascii="微软雅黑" w:hAnsi="微软雅黑" w:eastAsia="微软雅黑"/>
          <w:color w:val="000000"/>
          <w:sz w:val="24"/>
        </w:rPr>
        <w:t>进行验收。</w:t>
      </w:r>
    </w:p>
    <w:p>
      <w:pPr>
        <w:pStyle w:val="56"/>
        <w:keepNext w:val="0"/>
        <w:keepLines w:val="0"/>
        <w:pageBreakBefore w:val="0"/>
        <w:widowControl w:val="0"/>
        <w:numPr>
          <w:ilvl w:val="0"/>
          <w:numId w:val="13"/>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ascii="微软雅黑" w:hAnsi="微软雅黑" w:eastAsia="微软雅黑"/>
          <w:color w:val="000000"/>
          <w:sz w:val="24"/>
        </w:rPr>
        <w:t>设备试运行需在和本项目有关的部门及</w:t>
      </w:r>
      <w:r>
        <w:rPr>
          <w:rFonts w:hint="eastAsia" w:ascii="微软雅黑" w:hAnsi="微软雅黑" w:eastAsia="微软雅黑"/>
          <w:color w:val="000000"/>
          <w:sz w:val="24"/>
        </w:rPr>
        <w:t>招标方</w:t>
      </w:r>
      <w:r>
        <w:rPr>
          <w:rFonts w:ascii="微软雅黑" w:hAnsi="微软雅黑" w:eastAsia="微软雅黑"/>
          <w:color w:val="000000"/>
          <w:sz w:val="24"/>
        </w:rPr>
        <w:t>的工程技术人员的监督下进行。</w:t>
      </w:r>
    </w:p>
    <w:p>
      <w:pPr>
        <w:pStyle w:val="39"/>
        <w:keepNext w:val="0"/>
        <w:keepLines w:val="0"/>
        <w:pageBreakBefore w:val="0"/>
        <w:widowControl w:val="0"/>
        <w:kinsoku/>
        <w:wordWrap/>
        <w:overflowPunct/>
        <w:topLinePunct w:val="0"/>
        <w:autoSpaceDE/>
        <w:autoSpaceDN/>
        <w:bidi w:val="0"/>
        <w:snapToGrid w:val="0"/>
        <w:spacing w:line="500" w:lineRule="exact"/>
        <w:ind w:left="142" w:firstLine="0" w:firstLineChars="0"/>
        <w:rPr>
          <w:rFonts w:ascii="微软雅黑" w:hAnsi="微软雅黑" w:eastAsia="微软雅黑"/>
          <w:b/>
          <w:sz w:val="24"/>
          <w:szCs w:val="24"/>
        </w:rPr>
      </w:pPr>
      <w:bookmarkStart w:id="161" w:name="_Toc441053373"/>
      <w:r>
        <w:rPr>
          <w:rFonts w:hint="eastAsia" w:ascii="微软雅黑" w:hAnsi="微软雅黑" w:eastAsia="微软雅黑"/>
          <w:b/>
          <w:sz w:val="24"/>
          <w:szCs w:val="24"/>
        </w:rPr>
        <w:t>4.3技术培训</w:t>
      </w:r>
      <w:bookmarkEnd w:id="161"/>
    </w:p>
    <w:p>
      <w:pPr>
        <w:pStyle w:val="56"/>
        <w:keepNext w:val="0"/>
        <w:keepLines w:val="0"/>
        <w:pageBreakBefore w:val="0"/>
        <w:widowControl w:val="0"/>
        <w:numPr>
          <w:ilvl w:val="0"/>
          <w:numId w:val="14"/>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制造商应就其所提供的设备及操作系统，对招标方的技术人员和维修人员进行操作和维修方面的培训。</w:t>
      </w:r>
    </w:p>
    <w:p>
      <w:pPr>
        <w:pStyle w:val="56"/>
        <w:keepNext w:val="0"/>
        <w:keepLines w:val="0"/>
        <w:pageBreakBefore w:val="0"/>
        <w:widowControl w:val="0"/>
        <w:numPr>
          <w:ilvl w:val="0"/>
          <w:numId w:val="14"/>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制造商应在培训开始前一个月提出培训计划，以取得招标方的同意。</w:t>
      </w:r>
    </w:p>
    <w:p>
      <w:pPr>
        <w:pStyle w:val="56"/>
        <w:keepNext w:val="0"/>
        <w:keepLines w:val="0"/>
        <w:pageBreakBefore w:val="0"/>
        <w:widowControl w:val="0"/>
        <w:numPr>
          <w:ilvl w:val="0"/>
          <w:numId w:val="14"/>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制造商派出的培训人员，应在所提供的同类型产品上至少具有三年的维修经验。</w:t>
      </w:r>
    </w:p>
    <w:p>
      <w:pPr>
        <w:pStyle w:val="56"/>
        <w:keepNext w:val="0"/>
        <w:keepLines w:val="0"/>
        <w:pageBreakBefore w:val="0"/>
        <w:widowControl w:val="0"/>
        <w:numPr>
          <w:ilvl w:val="0"/>
          <w:numId w:val="14"/>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对操作人员的培训内容至少应包括操作和安全保护措施。</w:t>
      </w:r>
    </w:p>
    <w:p>
      <w:pPr>
        <w:pStyle w:val="56"/>
        <w:keepNext w:val="0"/>
        <w:keepLines w:val="0"/>
        <w:pageBreakBefore w:val="0"/>
        <w:widowControl w:val="0"/>
        <w:numPr>
          <w:ilvl w:val="0"/>
          <w:numId w:val="14"/>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招标方如委托其他分包商进行设备安装，制造商应安排技术人员予以免费指导。必要时，应对如何排除故障零件的拆装等进行指导。</w:t>
      </w:r>
    </w:p>
    <w:p>
      <w:pPr>
        <w:pStyle w:val="39"/>
        <w:keepNext w:val="0"/>
        <w:keepLines w:val="0"/>
        <w:pageBreakBefore w:val="0"/>
        <w:widowControl w:val="0"/>
        <w:kinsoku/>
        <w:wordWrap/>
        <w:overflowPunct/>
        <w:topLinePunct w:val="0"/>
        <w:autoSpaceDE/>
        <w:autoSpaceDN/>
        <w:bidi w:val="0"/>
        <w:snapToGrid w:val="0"/>
        <w:spacing w:line="500" w:lineRule="exact"/>
        <w:ind w:left="142" w:firstLine="0" w:firstLineChars="0"/>
        <w:rPr>
          <w:rFonts w:ascii="微软雅黑" w:hAnsi="微软雅黑" w:eastAsia="微软雅黑"/>
          <w:b/>
          <w:sz w:val="24"/>
          <w:szCs w:val="24"/>
        </w:rPr>
      </w:pPr>
      <w:bookmarkStart w:id="162" w:name="_Toc441053374"/>
      <w:r>
        <w:rPr>
          <w:rFonts w:hint="eastAsia" w:ascii="微软雅黑" w:hAnsi="微软雅黑" w:eastAsia="微软雅黑"/>
          <w:b/>
          <w:sz w:val="24"/>
          <w:szCs w:val="24"/>
        </w:rPr>
        <w:t>4.4售后服务</w:t>
      </w:r>
      <w:bookmarkEnd w:id="162"/>
    </w:p>
    <w:p>
      <w:pPr>
        <w:pStyle w:val="56"/>
        <w:keepNext w:val="0"/>
        <w:keepLines w:val="0"/>
        <w:pageBreakBefore w:val="0"/>
        <w:widowControl w:val="0"/>
        <w:numPr>
          <w:ilvl w:val="0"/>
          <w:numId w:val="15"/>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设备制造商贵阳必须设有永久性常驻维修机构，处理所有维修服务，并配有专职的、具有三年以上设备运行服务经验的技术工程师。</w:t>
      </w:r>
    </w:p>
    <w:p>
      <w:pPr>
        <w:pStyle w:val="56"/>
        <w:keepNext w:val="0"/>
        <w:keepLines w:val="0"/>
        <w:pageBreakBefore w:val="0"/>
        <w:widowControl w:val="0"/>
        <w:numPr>
          <w:ilvl w:val="0"/>
          <w:numId w:val="15"/>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制造商应保证货物在进行安装、调试和试运行等过程中损坏的或有缺陷的零部件直至整台设备可方便地得到修理和免费更换。</w:t>
      </w:r>
    </w:p>
    <w:p>
      <w:pPr>
        <w:pStyle w:val="56"/>
        <w:keepNext w:val="0"/>
        <w:keepLines w:val="0"/>
        <w:pageBreakBefore w:val="0"/>
        <w:widowControl w:val="0"/>
        <w:numPr>
          <w:ilvl w:val="0"/>
          <w:numId w:val="15"/>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货物使用期间，凡发生质量问题或需要技术支持，制造商均应能够及时地提供业主提出的技术服务要求。在质量保证期内，业主发出通知后，制造商应提供维修服务，免费修理或更换不合格的零部件直至整台设备，以保证设备正常运行。</w:t>
      </w:r>
    </w:p>
    <w:p>
      <w:pPr>
        <w:pStyle w:val="56"/>
        <w:keepNext w:val="0"/>
        <w:keepLines w:val="0"/>
        <w:pageBreakBefore w:val="0"/>
        <w:widowControl w:val="0"/>
        <w:numPr>
          <w:ilvl w:val="0"/>
          <w:numId w:val="15"/>
        </w:numPr>
        <w:kinsoku/>
        <w:wordWrap/>
        <w:overflowPunct/>
        <w:topLinePunct w:val="0"/>
        <w:autoSpaceDE/>
        <w:autoSpaceDN/>
        <w:bidi w:val="0"/>
        <w:adjustRightInd w:val="0"/>
        <w:snapToGrid w:val="0"/>
        <w:spacing w:line="500" w:lineRule="exact"/>
        <w:ind w:firstLineChars="0"/>
        <w:rPr>
          <w:rFonts w:ascii="微软雅黑" w:hAnsi="微软雅黑" w:eastAsia="微软雅黑"/>
          <w:color w:val="auto"/>
          <w:sz w:val="24"/>
        </w:rPr>
      </w:pPr>
      <w:r>
        <w:rPr>
          <w:rFonts w:hint="eastAsia" w:ascii="微软雅黑" w:hAnsi="微软雅黑" w:eastAsia="微软雅黑"/>
          <w:color w:val="000000"/>
          <w:sz w:val="24"/>
        </w:rPr>
        <w:t>质量保证期内的服务</w:t>
      </w:r>
      <w:r>
        <w:rPr>
          <w:rFonts w:hint="eastAsia" w:ascii="微软雅黑" w:hAnsi="微软雅黑" w:eastAsia="微软雅黑"/>
          <w:color w:val="auto"/>
          <w:sz w:val="24"/>
        </w:rPr>
        <w:t>对由于硬件质量问题造成的硬件自然损坏，制造商将提供现场服务，免费维修更换损坏的硬件。由于招标方为原因造成的硬件损坏，制造商有义务对损坏的硬件作有偿更换。制造商应在投标文件中承诺接到故障通知后即时响应，最长应在4小时内派技术人员到达现场，并能及时排除故障。</w:t>
      </w:r>
    </w:p>
    <w:p>
      <w:pPr>
        <w:pStyle w:val="39"/>
        <w:keepNext w:val="0"/>
        <w:keepLines w:val="0"/>
        <w:pageBreakBefore w:val="0"/>
        <w:widowControl w:val="0"/>
        <w:numPr>
          <w:ilvl w:val="0"/>
          <w:numId w:val="4"/>
        </w:numPr>
        <w:kinsoku/>
        <w:wordWrap/>
        <w:overflowPunct/>
        <w:topLinePunct w:val="0"/>
        <w:autoSpaceDE/>
        <w:autoSpaceDN/>
        <w:bidi w:val="0"/>
        <w:snapToGrid w:val="0"/>
        <w:spacing w:line="500" w:lineRule="exact"/>
        <w:ind w:left="142" w:firstLine="0" w:firstLineChars="0"/>
        <w:rPr>
          <w:rFonts w:ascii="微软雅黑" w:hAnsi="微软雅黑" w:eastAsia="微软雅黑"/>
          <w:b/>
          <w:color w:val="auto"/>
          <w:sz w:val="24"/>
          <w:szCs w:val="24"/>
        </w:rPr>
      </w:pPr>
      <w:r>
        <w:rPr>
          <w:rFonts w:hint="eastAsia" w:ascii="微软雅黑" w:hAnsi="微软雅黑" w:eastAsia="微软雅黑"/>
          <w:b/>
          <w:color w:val="auto"/>
          <w:sz w:val="24"/>
          <w:szCs w:val="24"/>
        </w:rPr>
        <w:t>标准及规范</w:t>
      </w:r>
    </w:p>
    <w:p>
      <w:pPr>
        <w:pStyle w:val="56"/>
        <w:keepNext w:val="0"/>
        <w:keepLines w:val="0"/>
        <w:pageBreakBefore w:val="0"/>
        <w:widowControl w:val="0"/>
        <w:kinsoku/>
        <w:wordWrap/>
        <w:overflowPunct/>
        <w:topLinePunct w:val="0"/>
        <w:autoSpaceDE/>
        <w:autoSpaceDN/>
        <w:bidi w:val="0"/>
        <w:adjustRightInd w:val="0"/>
        <w:snapToGrid w:val="0"/>
        <w:spacing w:line="500" w:lineRule="exact"/>
        <w:ind w:left="480" w:firstLine="0" w:firstLineChars="0"/>
        <w:rPr>
          <w:rFonts w:ascii="微软雅黑" w:hAnsi="微软雅黑" w:eastAsia="微软雅黑"/>
          <w:color w:val="auto"/>
          <w:sz w:val="24"/>
        </w:rPr>
      </w:pPr>
      <w:r>
        <w:rPr>
          <w:rFonts w:hint="eastAsia" w:ascii="微软雅黑" w:hAnsi="微软雅黑" w:eastAsia="微软雅黑"/>
          <w:color w:val="auto"/>
          <w:sz w:val="24"/>
        </w:rPr>
        <w:t>制造商所提供的设备和服务应符合以下最新版的标准及规范：</w:t>
      </w:r>
    </w:p>
    <w:p>
      <w:pPr>
        <w:pStyle w:val="56"/>
        <w:keepNext w:val="0"/>
        <w:keepLines w:val="0"/>
        <w:pageBreakBefore w:val="0"/>
        <w:widowControl w:val="0"/>
        <w:numPr>
          <w:ilvl w:val="0"/>
          <w:numId w:val="16"/>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产品应严格按GB/T 18430.1-2007《蒸气压缩循环冷水（热泵）机组 工商业用和类似用途的冷水（热泵）机组》制造、验收。</w:t>
      </w:r>
    </w:p>
    <w:p>
      <w:pPr>
        <w:pStyle w:val="56"/>
        <w:keepNext w:val="0"/>
        <w:keepLines w:val="0"/>
        <w:pageBreakBefore w:val="0"/>
        <w:widowControl w:val="0"/>
        <w:numPr>
          <w:ilvl w:val="0"/>
          <w:numId w:val="16"/>
        </w:numPr>
        <w:kinsoku/>
        <w:wordWrap/>
        <w:overflowPunct/>
        <w:topLinePunct w:val="0"/>
        <w:autoSpaceDE/>
        <w:autoSpaceDN/>
        <w:bidi w:val="0"/>
        <w:adjustRightInd w:val="0"/>
        <w:snapToGrid w:val="0"/>
        <w:spacing w:line="500" w:lineRule="exact"/>
        <w:ind w:firstLineChars="0"/>
        <w:rPr>
          <w:rFonts w:ascii="微软雅黑" w:hAnsi="微软雅黑" w:eastAsia="微软雅黑"/>
          <w:color w:val="000000"/>
          <w:sz w:val="24"/>
        </w:rPr>
      </w:pPr>
      <w:r>
        <w:rPr>
          <w:rFonts w:hint="eastAsia" w:ascii="微软雅黑" w:hAnsi="微软雅黑" w:eastAsia="微软雅黑"/>
          <w:color w:val="000000"/>
          <w:sz w:val="24"/>
        </w:rPr>
        <w:t>本要求中为提及的标准制造商优先选用国标、部标、行业标准，对国外引进的材料，参照国际标准或引进国标准。</w:t>
      </w:r>
    </w:p>
    <w:p>
      <w:pPr>
        <w:rPr>
          <w:rFonts w:hint="default"/>
          <w:lang w:val="en-US" w:eastAsia="zh-CN"/>
        </w:rPr>
      </w:pPr>
    </w:p>
    <w:sectPr>
      <w:footerReference r:id="rId10"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rPr>
        <w:rStyle w:val="31"/>
      </w:rPr>
      <w:fldChar w:fldCharType="begin"/>
    </w:r>
    <w:r>
      <w:rPr>
        <w:rStyle w:val="31"/>
      </w:rPr>
      <w:instrText xml:space="preserve">PAGE  </w:instrText>
    </w:r>
    <w:r>
      <w:fldChar w:fldCharType="end"/>
    </w:r>
  </w:p>
  <w:p>
    <w:pPr>
      <w:pStyle w:val="18"/>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Style w:val="31"/>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9B9"/>
    <w:multiLevelType w:val="multilevel"/>
    <w:tmpl w:val="055259B9"/>
    <w:lvl w:ilvl="0" w:tentative="0">
      <w:start w:val="1"/>
      <w:numFmt w:val="bullet"/>
      <w:lvlText w:val=""/>
      <w:lvlJc w:val="left"/>
      <w:pPr>
        <w:tabs>
          <w:tab w:val="left" w:pos="420"/>
        </w:tabs>
        <w:ind w:left="420" w:hanging="420"/>
      </w:pPr>
      <w:rPr>
        <w:rFonts w:hint="default" w:ascii="Wingdings" w:hAnsi="Wingdings"/>
      </w:rPr>
    </w:lvl>
    <w:lvl w:ilvl="1" w:tentative="0">
      <w:start w:val="2"/>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C7171AD"/>
    <w:multiLevelType w:val="multilevel"/>
    <w:tmpl w:val="0C7171AD"/>
    <w:lvl w:ilvl="0" w:tentative="0">
      <w:start w:val="1"/>
      <w:numFmt w:val="decimal"/>
      <w:lvlText w:val="（%1）"/>
      <w:lvlJc w:val="left"/>
      <w:pPr>
        <w:ind w:left="720" w:hanging="72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EC7CB7"/>
    <w:multiLevelType w:val="multilevel"/>
    <w:tmpl w:val="0FEC7CB7"/>
    <w:lvl w:ilvl="0" w:tentative="0">
      <w:start w:val="1"/>
      <w:numFmt w:val="lowerLetter"/>
      <w:lvlText w:val="%1)"/>
      <w:lvlJc w:val="left"/>
      <w:pPr>
        <w:tabs>
          <w:tab w:val="left" w:pos="1680"/>
        </w:tabs>
        <w:ind w:left="1680" w:hanging="420"/>
      </w:pPr>
      <w:rPr>
        <w:rFonts w:hint="default"/>
      </w:rPr>
    </w:lvl>
    <w:lvl w:ilvl="1" w:tentative="0">
      <w:start w:val="1"/>
      <w:numFmt w:val="upperLetter"/>
      <w:lvlText w:val="%2、"/>
      <w:lvlJc w:val="left"/>
      <w:pPr>
        <w:tabs>
          <w:tab w:val="left" w:pos="1254"/>
        </w:tabs>
        <w:ind w:left="1821" w:hanging="141"/>
      </w:pPr>
      <w:rPr>
        <w:rFonts w:hint="eastAsia"/>
      </w:r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3">
    <w:nsid w:val="12614BDD"/>
    <w:multiLevelType w:val="multilevel"/>
    <w:tmpl w:val="12614BDD"/>
    <w:lvl w:ilvl="0" w:tentative="0">
      <w:start w:val="1"/>
      <w:numFmt w:val="decimal"/>
      <w:lvlText w:val="（%1）"/>
      <w:lvlJc w:val="left"/>
      <w:pPr>
        <w:ind w:left="720" w:hanging="72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B87B00"/>
    <w:multiLevelType w:val="multilevel"/>
    <w:tmpl w:val="14B87B00"/>
    <w:lvl w:ilvl="0" w:tentative="0">
      <w:start w:val="1"/>
      <w:numFmt w:val="decimal"/>
      <w:lvlText w:val="（%1）"/>
      <w:lvlJc w:val="left"/>
      <w:pPr>
        <w:ind w:left="720" w:hanging="72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26134E"/>
    <w:multiLevelType w:val="multilevel"/>
    <w:tmpl w:val="1826134E"/>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1DFA3342"/>
    <w:multiLevelType w:val="multilevel"/>
    <w:tmpl w:val="1DFA3342"/>
    <w:lvl w:ilvl="0" w:tentative="0">
      <w:start w:val="1"/>
      <w:numFmt w:val="lowerLetter"/>
      <w:lvlText w:val="%1)"/>
      <w:lvlJc w:val="left"/>
      <w:pPr>
        <w:tabs>
          <w:tab w:val="left" w:pos="1680"/>
        </w:tabs>
        <w:ind w:left="1680" w:hanging="420"/>
      </w:pPr>
      <w:rPr>
        <w:rFonts w:hint="default"/>
      </w:rPr>
    </w:lvl>
    <w:lvl w:ilvl="1" w:tentative="0">
      <w:start w:val="1"/>
      <w:numFmt w:val="upperLetter"/>
      <w:lvlText w:val="%2、"/>
      <w:lvlJc w:val="left"/>
      <w:pPr>
        <w:tabs>
          <w:tab w:val="left" w:pos="1254"/>
        </w:tabs>
        <w:ind w:left="1821" w:hanging="141"/>
      </w:pPr>
      <w:rPr>
        <w:rFonts w:hint="eastAsia"/>
      </w:r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7">
    <w:nsid w:val="25A85FD7"/>
    <w:multiLevelType w:val="multilevel"/>
    <w:tmpl w:val="25A85FD7"/>
    <w:lvl w:ilvl="0" w:tentative="0">
      <w:start w:val="1"/>
      <w:numFmt w:val="decimal"/>
      <w:lvlText w:val="%1."/>
      <w:lvlJc w:val="left"/>
      <w:pPr>
        <w:tabs>
          <w:tab w:val="left" w:pos="987"/>
        </w:tabs>
        <w:ind w:left="851" w:hanging="426"/>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79D25D7"/>
    <w:multiLevelType w:val="multilevel"/>
    <w:tmpl w:val="479D25D7"/>
    <w:lvl w:ilvl="0" w:tentative="0">
      <w:start w:val="1"/>
      <w:numFmt w:val="decimal"/>
      <w:lvlText w:val="3.%1、"/>
      <w:lvlJc w:val="left"/>
      <w:pPr>
        <w:tabs>
          <w:tab w:val="left" w:pos="425"/>
        </w:tabs>
        <w:ind w:left="1134" w:hanging="28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2AE1627"/>
    <w:multiLevelType w:val="multilevel"/>
    <w:tmpl w:val="52AE1627"/>
    <w:lvl w:ilvl="0" w:tentative="0">
      <w:start w:val="1"/>
      <w:numFmt w:val="decimal"/>
      <w:lvlText w:val="（%1）"/>
      <w:lvlJc w:val="left"/>
      <w:pPr>
        <w:ind w:left="720" w:hanging="72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2A45F7"/>
    <w:multiLevelType w:val="multilevel"/>
    <w:tmpl w:val="562A45F7"/>
    <w:lvl w:ilvl="0" w:tentative="0">
      <w:start w:val="1"/>
      <w:numFmt w:val="decimal"/>
      <w:lvlText w:val="（%1）"/>
      <w:lvlJc w:val="left"/>
      <w:pPr>
        <w:ind w:left="720" w:hanging="72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38950FD"/>
    <w:multiLevelType w:val="multilevel"/>
    <w:tmpl w:val="638950FD"/>
    <w:lvl w:ilvl="0" w:tentative="0">
      <w:start w:val="1"/>
      <w:numFmt w:val="bullet"/>
      <w:lvlText w:val=""/>
      <w:lvlJc w:val="left"/>
      <w:pPr>
        <w:tabs>
          <w:tab w:val="left" w:pos="1260"/>
        </w:tabs>
        <w:ind w:left="1260" w:hanging="420"/>
      </w:pPr>
      <w:rPr>
        <w:rFonts w:hint="default" w:ascii="Wingdings" w:hAnsi="Wingdings"/>
      </w:rPr>
    </w:lvl>
    <w:lvl w:ilvl="1" w:tentative="0">
      <w:start w:val="2"/>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8C86D22"/>
    <w:multiLevelType w:val="singleLevel"/>
    <w:tmpl w:val="68C86D22"/>
    <w:lvl w:ilvl="0" w:tentative="0">
      <w:start w:val="3"/>
      <w:numFmt w:val="chineseCounting"/>
      <w:suff w:val="space"/>
      <w:lvlText w:val="第%1章"/>
      <w:lvlJc w:val="left"/>
      <w:rPr>
        <w:rFonts w:hint="eastAsia"/>
      </w:rPr>
    </w:lvl>
  </w:abstractNum>
  <w:abstractNum w:abstractNumId="14">
    <w:nsid w:val="73652AAA"/>
    <w:multiLevelType w:val="multilevel"/>
    <w:tmpl w:val="73652AAA"/>
    <w:lvl w:ilvl="0" w:tentative="0">
      <w:start w:val="1"/>
      <w:numFmt w:val="decimal"/>
      <w:lvlText w:val="（%1）"/>
      <w:lvlJc w:val="left"/>
      <w:pPr>
        <w:ind w:left="720" w:hanging="72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AF72FED"/>
    <w:multiLevelType w:val="multilevel"/>
    <w:tmpl w:val="7AF72FED"/>
    <w:lvl w:ilvl="0" w:tentative="0">
      <w:start w:val="1"/>
      <w:numFmt w:val="decimal"/>
      <w:lvlText w:val="（%1）"/>
      <w:lvlJc w:val="left"/>
      <w:pPr>
        <w:ind w:left="720" w:hanging="72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3"/>
  </w:num>
  <w:num w:numId="3">
    <w:abstractNumId w:val="7"/>
  </w:num>
  <w:num w:numId="4">
    <w:abstractNumId w:val="5"/>
  </w:num>
  <w:num w:numId="5">
    <w:abstractNumId w:val="1"/>
  </w:num>
  <w:num w:numId="6">
    <w:abstractNumId w:val="0"/>
  </w:num>
  <w:num w:numId="7">
    <w:abstractNumId w:val="12"/>
  </w:num>
  <w:num w:numId="8">
    <w:abstractNumId w:val="3"/>
  </w:num>
  <w:num w:numId="9">
    <w:abstractNumId w:val="6"/>
  </w:num>
  <w:num w:numId="10">
    <w:abstractNumId w:val="2"/>
  </w:num>
  <w:num w:numId="11">
    <w:abstractNumId w:val="9"/>
  </w:num>
  <w:num w:numId="12">
    <w:abstractNumId w:val="10"/>
  </w:num>
  <w:num w:numId="13">
    <w:abstractNumId w:val="15"/>
  </w:num>
  <w:num w:numId="14">
    <w:abstractNumId w:val="11"/>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E5D0A5B"/>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496F28"/>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3512668"/>
    <w:rsid w:val="53691AF0"/>
    <w:rsid w:val="54B421E6"/>
    <w:rsid w:val="54E83815"/>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4"/>
    <w:basedOn w:val="1"/>
    <w:next w:val="1"/>
    <w:link w:val="57"/>
    <w:qFormat/>
    <w:uiPriority w:val="9"/>
    <w:pPr>
      <w:keepNext/>
      <w:keepLines/>
      <w:numPr>
        <w:ilvl w:val="3"/>
        <w:numId w:val="1"/>
      </w:numPr>
      <w:outlineLvl w:val="3"/>
    </w:pPr>
    <w:rPr>
      <w:rFonts w:eastAsia="仿宋" w:asciiTheme="majorHAnsi" w:hAnsiTheme="majorHAnsi" w:cstheme="majorBidi"/>
      <w:bCs/>
      <w:sz w:val="24"/>
      <w:szCs w:val="28"/>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tabs>
        <w:tab w:val="left" w:pos="8280"/>
      </w:tabs>
      <w:ind w:firstLine="200" w:firstLineChars="200"/>
    </w:pPr>
    <w:rPr>
      <w:rFonts w:ascii="Times New Roman" w:hAnsi="Times New Roman"/>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9">
    <w:name w:val="Normal Indent"/>
    <w:basedOn w:val="1"/>
    <w:qFormat/>
    <w:uiPriority w:val="0"/>
    <w:pPr>
      <w:ind w:firstLine="420"/>
    </w:p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3"/>
    <w:basedOn w:val="1"/>
    <w:qFormat/>
    <w:uiPriority w:val="0"/>
    <w:rPr>
      <w:rFonts w:ascii="宋体"/>
      <w:sz w:val="24"/>
      <w:szCs w:val="20"/>
    </w:rPr>
  </w:style>
  <w:style w:type="paragraph" w:styleId="13">
    <w:name w:val="Body Text"/>
    <w:basedOn w:val="1"/>
    <w:next w:val="1"/>
    <w:link w:val="44"/>
    <w:qFormat/>
    <w:uiPriority w:val="99"/>
    <w:pPr>
      <w:spacing w:after="120"/>
    </w:pPr>
  </w:style>
  <w:style w:type="paragraph" w:styleId="14">
    <w:name w:val="toc 3"/>
    <w:basedOn w:val="1"/>
    <w:next w:val="1"/>
    <w:qFormat/>
    <w:uiPriority w:val="0"/>
    <w:pPr>
      <w:ind w:left="400" w:leftChars="400"/>
    </w:pPr>
  </w:style>
  <w:style w:type="paragraph" w:styleId="15">
    <w:name w:val="Plain Text"/>
    <w:basedOn w:val="1"/>
    <w:qFormat/>
    <w:uiPriority w:val="0"/>
    <w:pPr>
      <w:adjustRightInd w:val="0"/>
      <w:spacing w:line="312" w:lineRule="atLeast"/>
      <w:textAlignment w:val="baseline"/>
    </w:pPr>
    <w:rPr>
      <w:rFonts w:ascii="宋体"/>
      <w:kern w:val="0"/>
      <w:szCs w:val="20"/>
    </w:rPr>
  </w:style>
  <w:style w:type="paragraph" w:styleId="16">
    <w:name w:val="Date"/>
    <w:basedOn w:val="1"/>
    <w:next w:val="1"/>
    <w:qFormat/>
    <w:uiPriority w:val="0"/>
    <w:pPr>
      <w:ind w:left="2500" w:leftChars="25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Tahoma" w:hAnsi="Tahoma"/>
      <w:b/>
      <w:sz w:val="18"/>
      <w:szCs w:val="18"/>
    </w:rPr>
  </w:style>
  <w:style w:type="paragraph" w:styleId="19">
    <w:name w:val="header"/>
    <w:basedOn w:val="1"/>
    <w:next w:val="20"/>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0">
    <w:name w:val="引用1"/>
    <w:basedOn w:val="1"/>
    <w:next w:val="1"/>
    <w:qFormat/>
    <w:uiPriority w:val="0"/>
    <w:pPr>
      <w:ind w:left="864" w:right="864"/>
      <w:jc w:val="center"/>
    </w:pPr>
    <w:rPr>
      <w:rFonts w:ascii="Times New Roman" w:hAnsi="Times New Roman"/>
      <w:i/>
      <w:iCs/>
      <w:color w:val="404040"/>
    </w:rPr>
  </w:style>
  <w:style w:type="paragraph" w:styleId="21">
    <w:name w:val="toc 1"/>
    <w:basedOn w:val="1"/>
    <w:next w:val="1"/>
    <w:qFormat/>
    <w:uiPriority w:val="0"/>
  </w:style>
  <w:style w:type="paragraph" w:styleId="22">
    <w:name w:val="toc 2"/>
    <w:basedOn w:val="1"/>
    <w:next w:val="1"/>
    <w:qFormat/>
    <w:uiPriority w:val="0"/>
    <w:pPr>
      <w:ind w:left="200" w:leftChars="200"/>
    </w:pPr>
  </w:style>
  <w:style w:type="paragraph" w:styleId="23">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4">
    <w:name w:val="Title"/>
    <w:basedOn w:val="1"/>
    <w:next w:val="1"/>
    <w:link w:val="52"/>
    <w:qFormat/>
    <w:uiPriority w:val="0"/>
    <w:pPr>
      <w:spacing w:before="240" w:after="60"/>
      <w:jc w:val="center"/>
      <w:outlineLvl w:val="0"/>
    </w:pPr>
    <w:rPr>
      <w:rFonts w:ascii="Cambria" w:hAnsi="Cambria"/>
      <w:b/>
      <w:bCs/>
      <w:sz w:val="32"/>
      <w:szCs w:val="32"/>
    </w:rPr>
  </w:style>
  <w:style w:type="paragraph" w:styleId="25">
    <w:name w:val="annotation subject"/>
    <w:basedOn w:val="11"/>
    <w:next w:val="11"/>
    <w:qFormat/>
    <w:uiPriority w:val="0"/>
    <w:rPr>
      <w:b/>
      <w:bCs/>
    </w:rPr>
  </w:style>
  <w:style w:type="paragraph" w:styleId="26">
    <w:name w:val="Body Text First Indent"/>
    <w:basedOn w:val="13"/>
    <w:qFormat/>
    <w:uiPriority w:val="0"/>
    <w:pPr>
      <w:spacing w:line="360" w:lineRule="auto"/>
      <w:ind w:firstLine="100" w:firstLineChars="100"/>
      <w:outlineLvl w:val="0"/>
    </w:pPr>
    <w:rPr>
      <w:bCs/>
      <w:color w:val="000000"/>
      <w:kern w:val="28"/>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themeColor="followedHyperlink"/>
      <w:u w:val="single"/>
      <w14:textFill>
        <w14:solidFill>
          <w14:schemeClr w14:val="folHlink"/>
        </w14:solidFill>
      </w14:textFill>
    </w:rPr>
  </w:style>
  <w:style w:type="character" w:styleId="33">
    <w:name w:val="Hyperlink"/>
    <w:basedOn w:val="29"/>
    <w:qFormat/>
    <w:uiPriority w:val="0"/>
    <w:rPr>
      <w:color w:val="0000FF"/>
      <w:u w:val="single"/>
    </w:rPr>
  </w:style>
  <w:style w:type="character" w:styleId="34">
    <w:name w:val="annotation reference"/>
    <w:qFormat/>
    <w:uiPriority w:val="0"/>
    <w:rPr>
      <w:rFonts w:ascii="Tahoma" w:hAnsi="Tahoma"/>
      <w:b/>
      <w:sz w:val="21"/>
      <w:szCs w:val="21"/>
    </w:rPr>
  </w:style>
  <w:style w:type="paragraph" w:customStyle="1" w:styleId="35">
    <w:name w:val="BodyText"/>
    <w:basedOn w:val="1"/>
    <w:qFormat/>
    <w:uiPriority w:val="0"/>
    <w:pPr>
      <w:spacing w:after="120"/>
    </w:pPr>
  </w:style>
  <w:style w:type="paragraph" w:customStyle="1" w:styleId="36">
    <w:name w:val="Char Char Char"/>
    <w:basedOn w:val="10"/>
    <w:qFormat/>
    <w:uiPriority w:val="0"/>
    <w:pPr>
      <w:adjustRightInd w:val="0"/>
      <w:spacing w:line="436" w:lineRule="exact"/>
      <w:ind w:left="357"/>
      <w:jc w:val="left"/>
      <w:outlineLvl w:val="3"/>
    </w:pPr>
    <w:rPr>
      <w:rFonts w:ascii="Tahoma" w:hAnsi="Tahoma"/>
      <w:b/>
      <w:sz w:val="24"/>
    </w:rPr>
  </w:style>
  <w:style w:type="paragraph" w:customStyle="1" w:styleId="37">
    <w:name w:val="Char"/>
    <w:basedOn w:val="1"/>
    <w:qFormat/>
    <w:uiPriority w:val="0"/>
  </w:style>
  <w:style w:type="paragraph" w:customStyle="1" w:styleId="38">
    <w:name w:val="Char Char Char1"/>
    <w:basedOn w:val="10"/>
    <w:qFormat/>
    <w:uiPriority w:val="0"/>
    <w:pPr>
      <w:adjustRightInd w:val="0"/>
      <w:spacing w:line="436" w:lineRule="exact"/>
      <w:ind w:left="357"/>
      <w:jc w:val="left"/>
      <w:outlineLvl w:val="3"/>
    </w:pPr>
    <w:rPr>
      <w:rFonts w:ascii="Tahoma" w:hAnsi="Tahoma"/>
      <w:b/>
      <w:sz w:val="24"/>
    </w:rPr>
  </w:style>
  <w:style w:type="paragraph" w:customStyle="1" w:styleId="39">
    <w:name w:val="列出段落1"/>
    <w:basedOn w:val="1"/>
    <w:qFormat/>
    <w:uiPriority w:val="0"/>
    <w:pPr>
      <w:ind w:firstLine="200" w:firstLineChars="200"/>
    </w:pPr>
    <w:rPr>
      <w:szCs w:val="22"/>
    </w:rPr>
  </w:style>
  <w:style w:type="paragraph" w:customStyle="1" w:styleId="40">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1">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2">
    <w:name w:val="默认段落字体 Para Char Char Char Char Char Char Char"/>
    <w:basedOn w:val="1"/>
    <w:qFormat/>
    <w:uiPriority w:val="0"/>
    <w:rPr>
      <w:rFonts w:ascii="Times New Roman" w:hAnsi="Times New Roman"/>
      <w:szCs w:val="20"/>
    </w:rPr>
  </w:style>
  <w:style w:type="paragraph" w:customStyle="1" w:styleId="43">
    <w:name w:val="Table Paragraph"/>
    <w:basedOn w:val="1"/>
    <w:qFormat/>
    <w:uiPriority w:val="0"/>
  </w:style>
  <w:style w:type="character" w:customStyle="1" w:styleId="44">
    <w:name w:val="正文文本 字符"/>
    <w:basedOn w:val="29"/>
    <w:link w:val="13"/>
    <w:qFormat/>
    <w:uiPriority w:val="99"/>
    <w:rPr>
      <w:rFonts w:ascii="Calibri" w:hAnsi="Calibri"/>
      <w:kern w:val="2"/>
      <w:sz w:val="21"/>
      <w:szCs w:val="24"/>
    </w:rPr>
  </w:style>
  <w:style w:type="paragraph" w:customStyle="1" w:styleId="45">
    <w:name w:val="UserStyle_1"/>
    <w:basedOn w:val="1"/>
    <w:qFormat/>
    <w:uiPriority w:val="0"/>
    <w:pPr>
      <w:topLinePunct/>
      <w:spacing w:line="360" w:lineRule="auto"/>
      <w:ind w:firstLine="200" w:firstLineChars="200"/>
    </w:pPr>
    <w:rPr>
      <w:rFonts w:ascii="Verdana" w:hAnsi="Verdana"/>
      <w:sz w:val="24"/>
    </w:rPr>
  </w:style>
  <w:style w:type="character" w:customStyle="1" w:styleId="46">
    <w:name w:val="NormalCharacter"/>
    <w:qFormat/>
    <w:uiPriority w:val="0"/>
  </w:style>
  <w:style w:type="table" w:customStyle="1" w:styleId="47">
    <w:name w:val="Table Normal"/>
    <w:semiHidden/>
    <w:unhideWhenUsed/>
    <w:qFormat/>
    <w:uiPriority w:val="0"/>
    <w:tblPr>
      <w:tblLayout w:type="fixed"/>
      <w:tblCellMar>
        <w:top w:w="0" w:type="dxa"/>
        <w:left w:w="0" w:type="dxa"/>
        <w:bottom w:w="0" w:type="dxa"/>
        <w:right w:w="0" w:type="dxa"/>
      </w:tblCellMar>
    </w:tblPr>
  </w:style>
  <w:style w:type="character" w:customStyle="1" w:styleId="48">
    <w:name w:val="font01"/>
    <w:basedOn w:val="29"/>
    <w:qFormat/>
    <w:uiPriority w:val="0"/>
    <w:rPr>
      <w:rFonts w:hint="eastAsia" w:ascii="宋体" w:hAnsi="宋体" w:eastAsia="宋体" w:cs="宋体"/>
      <w:color w:val="FF0000"/>
      <w:sz w:val="22"/>
      <w:szCs w:val="22"/>
      <w:u w:val="none"/>
    </w:rPr>
  </w:style>
  <w:style w:type="character" w:customStyle="1" w:styleId="49">
    <w:name w:val="font11"/>
    <w:basedOn w:val="29"/>
    <w:qFormat/>
    <w:uiPriority w:val="0"/>
    <w:rPr>
      <w:rFonts w:hint="eastAsia" w:ascii="宋体" w:hAnsi="宋体" w:eastAsia="宋体" w:cs="宋体"/>
      <w:color w:val="000000"/>
      <w:sz w:val="22"/>
      <w:szCs w:val="22"/>
      <w:u w:val="none"/>
    </w:rPr>
  </w:style>
  <w:style w:type="character" w:customStyle="1" w:styleId="50">
    <w:name w:val="font41"/>
    <w:basedOn w:val="29"/>
    <w:qFormat/>
    <w:uiPriority w:val="0"/>
    <w:rPr>
      <w:rFonts w:hint="eastAsia" w:ascii="宋体" w:hAnsi="宋体" w:eastAsia="宋体" w:cs="宋体"/>
      <w:color w:val="FFC000"/>
      <w:sz w:val="22"/>
      <w:szCs w:val="22"/>
      <w:u w:val="none"/>
    </w:rPr>
  </w:style>
  <w:style w:type="character" w:customStyle="1" w:styleId="51">
    <w:name w:val="font31"/>
    <w:basedOn w:val="29"/>
    <w:qFormat/>
    <w:uiPriority w:val="0"/>
    <w:rPr>
      <w:rFonts w:hint="default" w:ascii="Times New Roman" w:hAnsi="Times New Roman" w:cs="Times New Roman"/>
      <w:color w:val="000000"/>
      <w:sz w:val="23"/>
      <w:szCs w:val="23"/>
      <w:u w:val="none"/>
    </w:rPr>
  </w:style>
  <w:style w:type="character" w:customStyle="1" w:styleId="52">
    <w:name w:val="标题 字符"/>
    <w:link w:val="24"/>
    <w:qFormat/>
    <w:uiPriority w:val="0"/>
    <w:rPr>
      <w:rFonts w:ascii="Cambria" w:hAnsi="Cambria"/>
      <w:b/>
      <w:bCs/>
      <w:sz w:val="32"/>
      <w:szCs w:val="32"/>
    </w:rPr>
  </w:style>
  <w:style w:type="paragraph" w:customStyle="1" w:styleId="53">
    <w:name w:val="章标题"/>
    <w:basedOn w:val="1"/>
    <w:next w:val="54"/>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5">
    <w:name w:val="标题 32"/>
    <w:basedOn w:val="1"/>
    <w:qFormat/>
    <w:uiPriority w:val="0"/>
    <w:pPr>
      <w:widowControl/>
      <w:jc w:val="left"/>
      <w:outlineLvl w:val="3"/>
    </w:pPr>
    <w:rPr>
      <w:rFonts w:ascii="宋体" w:hAnsi="宋体" w:cs="宋体"/>
      <w:kern w:val="0"/>
      <w:sz w:val="27"/>
      <w:szCs w:val="27"/>
    </w:rPr>
  </w:style>
  <w:style w:type="paragraph" w:styleId="56">
    <w:name w:val="List Paragraph"/>
    <w:basedOn w:val="1"/>
    <w:qFormat/>
    <w:uiPriority w:val="99"/>
    <w:pPr>
      <w:ind w:firstLine="420" w:firstLineChars="200"/>
    </w:pPr>
    <w:rPr>
      <w:rFonts w:ascii="Calibri" w:hAnsi="Calibri"/>
      <w:szCs w:val="22"/>
    </w:rPr>
  </w:style>
  <w:style w:type="character" w:customStyle="1" w:styleId="57">
    <w:name w:val="标题 4 Char"/>
    <w:basedOn w:val="29"/>
    <w:link w:val="7"/>
    <w:qFormat/>
    <w:uiPriority w:val="9"/>
    <w:rPr>
      <w:rFonts w:eastAsia="仿宋" w:asciiTheme="majorHAnsi" w:hAnsiTheme="majorHAnsi" w:cstheme="majorBidi"/>
      <w:bCs/>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0</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2023-08-08T06:55:00Z</cp:lastPrinted>
  <dcterms:modified xsi:type="dcterms:W3CDTF">2023-08-08T08:34:53Z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