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after="0"/>
        <w:ind w:firstLine="0" w:firstLineChars="0"/>
        <w:rPr>
          <w:color w:val="auto"/>
          <w:sz w:val="44"/>
          <w:szCs w:val="44"/>
        </w:rPr>
      </w:pPr>
    </w:p>
    <w:p>
      <w:pPr>
        <w:pStyle w:val="26"/>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项目（十一）</w:t>
      </w:r>
    </w:p>
    <w:p>
      <w:pPr>
        <w:spacing w:before="295"/>
        <w:ind w:left="871" w:right="871"/>
        <w:jc w:val="center"/>
        <w:rPr>
          <w:rFonts w:ascii="黑体" w:hAnsi="黑体" w:eastAsia="黑体" w:cs="宋体"/>
          <w:b/>
          <w:bCs/>
          <w:snapToGrid w:val="0"/>
          <w:kern w:val="0"/>
          <w:sz w:val="40"/>
          <w:szCs w:val="40"/>
        </w:rPr>
      </w:pPr>
      <w:r>
        <w:rPr>
          <w:rFonts w:hint="eastAsia" w:ascii="宋体" w:hAnsi="宋体" w:cs="宋体"/>
          <w:b/>
          <w:bCs/>
          <w:sz w:val="44"/>
          <w:szCs w:val="44"/>
          <w:lang w:val="en-US" w:eastAsia="zh-CN"/>
        </w:rPr>
        <w:t>分户计量、热力站自控</w:t>
      </w:r>
    </w:p>
    <w:p>
      <w:pPr>
        <w:pStyle w:val="11"/>
        <w:spacing w:after="0" w:line="360" w:lineRule="auto"/>
        <w:jc w:val="center"/>
        <w:rPr>
          <w:rFonts w:ascii="黑体" w:hAnsi="黑体" w:eastAsia="黑体" w:cs="宋体"/>
          <w:b/>
          <w:bCs/>
          <w:snapToGrid w:val="0"/>
          <w:kern w:val="0"/>
          <w:sz w:val="40"/>
          <w:szCs w:val="40"/>
        </w:rPr>
      </w:pPr>
    </w:p>
    <w:p>
      <w:pPr>
        <w:pStyle w:val="11"/>
        <w:spacing w:after="0" w:line="360" w:lineRule="auto"/>
        <w:jc w:val="center"/>
        <w:rPr>
          <w:rFonts w:ascii="黑体" w:hAnsi="黑体" w:eastAsia="黑体" w:cs="宋体"/>
          <w:snapToGrid w:val="0"/>
          <w:kern w:val="0"/>
          <w:sz w:val="36"/>
          <w:szCs w:val="36"/>
        </w:rPr>
      </w:pPr>
    </w:p>
    <w:p>
      <w:pPr>
        <w:pStyle w:val="11"/>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11"/>
        <w:spacing w:after="0" w:line="360" w:lineRule="auto"/>
        <w:jc w:val="center"/>
        <w:rPr>
          <w:rFonts w:ascii="黑体" w:hAnsi="黑体" w:eastAsia="黑体" w:cs="宋体"/>
          <w:snapToGrid w:val="0"/>
          <w:kern w:val="0"/>
          <w:sz w:val="36"/>
          <w:szCs w:val="36"/>
        </w:rPr>
      </w:pPr>
    </w:p>
    <w:p>
      <w:pPr>
        <w:pStyle w:val="26"/>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9360"/>
      <w:bookmarkStart w:id="1" w:name="_Toc1893"/>
      <w:bookmarkStart w:id="2" w:name="_Toc27485"/>
      <w:bookmarkStart w:id="3" w:name="_Toc16820"/>
      <w:bookmarkStart w:id="4" w:name="_Toc29917"/>
      <w:bookmarkStart w:id="5" w:name="_Toc7028"/>
      <w:bookmarkStart w:id="6" w:name="_Toc9252"/>
      <w:bookmarkStart w:id="7" w:name="_Toc15937"/>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11"/>
        <w:rPr>
          <w:sz w:val="40"/>
        </w:rPr>
      </w:pPr>
    </w:p>
    <w:p>
      <w:pPr>
        <w:pStyle w:val="11"/>
        <w:ind w:firstLine="933" w:firstLineChars="300"/>
        <w:rPr>
          <w:sz w:val="32"/>
        </w:rPr>
      </w:pPr>
      <w:r>
        <w:rPr>
          <w:rFonts w:hint="eastAsia"/>
          <w:sz w:val="32"/>
        </w:rPr>
        <w:t>第</w:t>
      </w:r>
      <w:r>
        <w:rPr>
          <w:rFonts w:hint="eastAsia"/>
          <w:sz w:val="32"/>
          <w:lang w:eastAsia="zh-CN"/>
        </w:rPr>
        <w:t>一</w:t>
      </w:r>
      <w:r>
        <w:rPr>
          <w:rFonts w:hint="eastAsia"/>
          <w:sz w:val="32"/>
        </w:rPr>
        <w:t>章   参选人须知</w:t>
      </w:r>
    </w:p>
    <w:p>
      <w:pPr>
        <w:pStyle w:val="11"/>
        <w:ind w:firstLine="933" w:firstLineChars="300"/>
        <w:rPr>
          <w:rFonts w:hint="eastAsia"/>
          <w:sz w:val="32"/>
        </w:rPr>
      </w:pPr>
      <w:r>
        <w:rPr>
          <w:rFonts w:hint="eastAsia"/>
          <w:sz w:val="32"/>
        </w:rPr>
        <w:t>第</w:t>
      </w:r>
      <w:r>
        <w:rPr>
          <w:rFonts w:hint="eastAsia"/>
          <w:sz w:val="32"/>
          <w:lang w:eastAsia="zh-CN"/>
        </w:rPr>
        <w:t>二</w:t>
      </w:r>
      <w:r>
        <w:rPr>
          <w:rFonts w:hint="eastAsia"/>
          <w:sz w:val="32"/>
        </w:rPr>
        <w:t>章   响应文件格式</w:t>
      </w:r>
    </w:p>
    <w:p>
      <w:pPr>
        <w:rPr>
          <w:rFonts w:hint="eastAsia"/>
          <w:sz w:val="32"/>
          <w:lang w:val="en-US" w:eastAsia="zh-CN"/>
        </w:rPr>
      </w:pPr>
      <w:r>
        <w:rPr>
          <w:rFonts w:hint="eastAsia"/>
          <w:sz w:val="32"/>
          <w:lang w:val="en-US" w:eastAsia="zh-CN"/>
        </w:rPr>
        <w:t xml:space="preserve">      第三章   技术要求</w:t>
      </w:r>
    </w:p>
    <w:p>
      <w:pPr>
        <w:ind w:firstLine="2488" w:firstLineChars="800"/>
        <w:rPr>
          <w:rFonts w:hint="eastAsia" w:ascii="Calibri" w:hAnsi="Calibri" w:eastAsia="宋体" w:cs="Times New Roman"/>
          <w:kern w:val="2"/>
          <w:sz w:val="32"/>
          <w:szCs w:val="24"/>
          <w:lang w:val="en-US" w:eastAsia="zh-CN" w:bidi="ar-SA"/>
        </w:rPr>
      </w:pPr>
      <w:r>
        <w:rPr>
          <w:rFonts w:hint="eastAsia" w:ascii="Calibri" w:hAnsi="Calibri" w:eastAsia="宋体" w:cs="Times New Roman"/>
          <w:kern w:val="2"/>
          <w:sz w:val="32"/>
          <w:szCs w:val="24"/>
          <w:lang w:val="en-US" w:eastAsia="zh-CN" w:bidi="ar-SA"/>
        </w:rPr>
        <w:t>一、分户计量</w:t>
      </w:r>
    </w:p>
    <w:p>
      <w:pPr>
        <w:ind w:firstLine="2488" w:firstLineChars="800"/>
        <w:rPr>
          <w:rFonts w:hint="eastAsia" w:ascii="Calibri" w:hAnsi="Calibri" w:eastAsia="宋体" w:cs="Times New Roman"/>
          <w:kern w:val="2"/>
          <w:sz w:val="32"/>
          <w:szCs w:val="24"/>
          <w:lang w:val="en-US" w:eastAsia="zh-CN" w:bidi="ar-SA"/>
        </w:rPr>
      </w:pPr>
      <w:r>
        <w:rPr>
          <w:rFonts w:hint="eastAsia" w:ascii="Calibri" w:hAnsi="Calibri" w:eastAsia="宋体" w:cs="Times New Roman"/>
          <w:kern w:val="2"/>
          <w:sz w:val="32"/>
          <w:szCs w:val="24"/>
          <w:lang w:val="en-US" w:eastAsia="zh-CN" w:bidi="ar-SA"/>
        </w:rPr>
        <w:t>二、热力站自控</w:t>
      </w:r>
    </w:p>
    <w:p>
      <w:pPr>
        <w:ind w:firstLine="933" w:firstLineChars="300"/>
        <w:rPr>
          <w:rFonts w:hint="eastAsia" w:cs="Times New Roman"/>
          <w:kern w:val="2"/>
          <w:sz w:val="32"/>
          <w:szCs w:val="24"/>
          <w:lang w:val="en-US" w:eastAsia="zh-CN" w:bidi="ar-SA"/>
        </w:rPr>
      </w:pPr>
      <w:r>
        <w:rPr>
          <w:rFonts w:hint="eastAsia" w:ascii="Calibri" w:hAnsi="Calibri" w:eastAsia="宋体" w:cs="Times New Roman"/>
          <w:kern w:val="2"/>
          <w:sz w:val="32"/>
          <w:szCs w:val="24"/>
          <w:lang w:val="en-US" w:eastAsia="zh-CN" w:bidi="ar-SA"/>
        </w:rPr>
        <w:t xml:space="preserve">第四章  </w:t>
      </w:r>
      <w:r>
        <w:rPr>
          <w:rFonts w:hint="eastAsia" w:cs="Times New Roman"/>
          <w:kern w:val="2"/>
          <w:sz w:val="32"/>
          <w:szCs w:val="24"/>
          <w:lang w:val="en-US" w:eastAsia="zh-CN" w:bidi="ar-SA"/>
        </w:rPr>
        <w:t xml:space="preserve"> 清单</w:t>
      </w:r>
    </w:p>
    <w:p>
      <w:pPr>
        <w:pStyle w:val="2"/>
        <w:ind w:left="0" w:leftChars="0" w:firstLine="933" w:firstLineChars="300"/>
        <w:rPr>
          <w:rFonts w:hint="default" w:ascii="Calibri" w:hAnsi="Calibri" w:eastAsia="宋体" w:cs="Times New Roman"/>
          <w:kern w:val="2"/>
          <w:sz w:val="32"/>
          <w:szCs w:val="24"/>
          <w:lang w:val="en-US" w:eastAsia="zh-CN" w:bidi="ar-SA"/>
        </w:rPr>
      </w:pPr>
      <w:r>
        <w:rPr>
          <w:rFonts w:hint="eastAsia" w:ascii="Calibri" w:hAnsi="Calibri" w:eastAsia="宋体" w:cs="Times New Roman"/>
          <w:kern w:val="2"/>
          <w:sz w:val="32"/>
          <w:szCs w:val="24"/>
          <w:lang w:val="en-US" w:eastAsia="zh-CN" w:bidi="ar-SA"/>
        </w:rPr>
        <w:t>第五章   图纸</w:t>
      </w:r>
    </w:p>
    <w:bookmarkEnd w:id="8"/>
    <w:p>
      <w:pPr>
        <w:spacing w:line="720" w:lineRule="auto"/>
        <w:jc w:val="center"/>
        <w:outlineLvl w:val="1"/>
        <w:rPr>
          <w:rFonts w:hint="eastAsia" w:ascii="宋体" w:cs="宋体"/>
          <w:b/>
          <w:bCs/>
          <w:snapToGrid w:val="0"/>
          <w:kern w:val="0"/>
          <w:sz w:val="44"/>
          <w:szCs w:val="44"/>
        </w:rPr>
      </w:pPr>
      <w:bookmarkStart w:id="9" w:name="_Toc13783"/>
      <w:bookmarkStart w:id="10" w:name="_Toc10675"/>
      <w:bookmarkStart w:id="11" w:name="_Toc23301"/>
      <w:bookmarkStart w:id="12" w:name="_Toc19817"/>
      <w:bookmarkStart w:id="13" w:name="_Toc9249"/>
      <w:bookmarkStart w:id="14" w:name="_Toc3275"/>
      <w:bookmarkStart w:id="15" w:name="_Toc12829"/>
      <w:bookmarkStart w:id="16" w:name="_Toc17223"/>
      <w:bookmarkStart w:id="17" w:name="_Toc23647"/>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both"/>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18" w:name="_Toc4359"/>
      <w:bookmarkStart w:id="19" w:name="_Toc23909"/>
      <w:bookmarkStart w:id="20" w:name="_Toc1433"/>
      <w:bookmarkStart w:id="21" w:name="_Toc28077"/>
      <w:bookmarkStart w:id="22" w:name="_Toc421110024"/>
      <w:bookmarkStart w:id="23" w:name="_Toc32441"/>
      <w:bookmarkStart w:id="24" w:name="_Toc18909"/>
      <w:bookmarkStart w:id="25" w:name="_Toc14296"/>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2.评审以基本资格要求和专项资格要求（业绩、生产能力）等为主要指标，综合考虑企业生产管理状况、合同执行情况以及售后服务等因素进行评价审查。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11"/>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6.质量认证证书复印件；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w:t>
      </w:r>
      <w:r>
        <w:rPr>
          <w:rFonts w:hint="eastAsia" w:ascii="宋体" w:hAnsi="宋体" w:cs="宋体"/>
          <w:color w:val="000000"/>
          <w:kern w:val="0"/>
          <w:sz w:val="24"/>
          <w:lang w:eastAsia="zh-CN"/>
        </w:rPr>
        <w:t>；</w:t>
      </w:r>
      <w:r>
        <w:rPr>
          <w:rFonts w:hint="eastAsia" w:ascii="宋体" w:hAnsi="宋体" w:cs="宋体"/>
          <w:color w:val="000000"/>
          <w:kern w:val="0"/>
          <w:sz w:val="24"/>
        </w:rPr>
        <w:t>（包括组织机构、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.供应商保密协议</w:t>
      </w:r>
      <w:r>
        <w:rPr>
          <w:rFonts w:hint="eastAsia" w:ascii="宋体" w:hAnsi="宋体" w:cs="宋体"/>
          <w:color w:val="000000"/>
          <w:kern w:val="0"/>
          <w:sz w:val="24"/>
          <w:lang w:eastAsia="zh-CN"/>
        </w:rPr>
        <w:t>；</w:t>
      </w:r>
      <w:r>
        <w:rPr>
          <w:rFonts w:hint="eastAsia" w:ascii="宋体" w:hAnsi="宋体" w:cs="宋体"/>
          <w:color w:val="000000"/>
          <w:kern w:val="0"/>
          <w:sz w:val="24"/>
        </w:rPr>
        <w:t>（格式见附件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（二）专项资格文件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1.与</w:t>
      </w:r>
      <w:r>
        <w:rPr>
          <w:rFonts w:hint="eastAsia" w:ascii="宋体" w:hAnsi="宋体" w:cs="宋体"/>
          <w:color w:val="000000"/>
          <w:kern w:val="0"/>
          <w:sz w:val="24"/>
          <w:lang w:eastAsia="zh-CN"/>
        </w:rPr>
        <w:t>要求</w:t>
      </w:r>
      <w:r>
        <w:rPr>
          <w:rFonts w:hint="eastAsia" w:ascii="宋体" w:hAnsi="宋体" w:cs="宋体"/>
          <w:color w:val="000000"/>
          <w:kern w:val="0"/>
          <w:sz w:val="24"/>
        </w:rPr>
        <w:t>设备/服务相同或类似的业绩汇总及用户单位（单位名称）、联系方式（格式见附件4）;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3.资质证书复印件、生产许可证复印件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4.试验报告</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5.鉴定证书复印件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lang w:eastAsia="zh-CN"/>
        </w:rPr>
      </w:pPr>
      <w:r>
        <w:rPr>
          <w:rFonts w:hint="eastAsia" w:ascii="宋体" w:hAnsi="宋体" w:cs="宋体"/>
          <w:color w:val="000000"/>
          <w:kern w:val="0"/>
          <w:sz w:val="24"/>
        </w:rPr>
        <w:t>6.产品认证证书复印件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7.根据第四章清单表报价</w:t>
      </w:r>
      <w:bookmarkStart w:id="152" w:name="_GoBack"/>
      <w:bookmarkEnd w:id="152"/>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highlight w:val="none"/>
          <w:lang w:val="en-US" w:eastAsia="zh-CN"/>
        </w:rPr>
        <w:t>8.针对本项目</w:t>
      </w:r>
      <w:r>
        <w:rPr>
          <w:rFonts w:hint="eastAsia" w:ascii="宋体" w:hAnsi="宋体" w:cs="宋体"/>
          <w:color w:val="000000"/>
          <w:kern w:val="0"/>
          <w:sz w:val="24"/>
          <w:lang w:val="en-US" w:eastAsia="zh-CN"/>
        </w:rPr>
        <w:t>的生产周期</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9818"/>
      <w:bookmarkStart w:id="27" w:name="_Toc26971"/>
      <w:bookmarkStart w:id="28" w:name="_Toc7450"/>
      <w:bookmarkStart w:id="29" w:name="_Toc24327"/>
      <w:bookmarkStart w:id="30" w:name="_Toc2493"/>
      <w:bookmarkStart w:id="31" w:name="_Toc16541"/>
      <w:bookmarkStart w:id="32" w:name="_Toc4460"/>
      <w:bookmarkStart w:id="33" w:name="_Toc12747"/>
      <w:bookmarkStart w:id="34" w:name="_Toc20463"/>
    </w:p>
    <w:p>
      <w:pPr>
        <w:pStyle w:val="11"/>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26"/>
      <w:bookmarkEnd w:id="27"/>
      <w:bookmarkEnd w:id="28"/>
      <w:bookmarkEnd w:id="29"/>
      <w:bookmarkEnd w:id="30"/>
      <w:bookmarkEnd w:id="31"/>
      <w:bookmarkEnd w:id="32"/>
      <w:bookmarkEnd w:id="33"/>
      <w:bookmarkEnd w:id="34"/>
    </w:p>
    <w:p>
      <w:pPr>
        <w:pStyle w:val="11"/>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11"/>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11"/>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11"/>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7"/>
        <w:ind w:firstLine="608"/>
        <w:rPr>
          <w:rFonts w:ascii="宋体" w:cs="宋体"/>
          <w:sz w:val="28"/>
          <w:szCs w:val="28"/>
        </w:rPr>
      </w:pPr>
    </w:p>
    <w:p>
      <w:pPr>
        <w:rPr>
          <w:rFonts w:ascii="宋体" w:cs="宋体"/>
          <w:kern w:val="0"/>
          <w:sz w:val="28"/>
          <w:szCs w:val="28"/>
        </w:rPr>
      </w:pPr>
    </w:p>
    <w:p>
      <w:pPr>
        <w:pStyle w:val="27"/>
        <w:ind w:firstLine="528"/>
      </w:pPr>
    </w:p>
    <w:p>
      <w:pPr>
        <w:pStyle w:val="27"/>
        <w:ind w:firstLine="375" w:firstLineChars="100"/>
        <w:rPr>
          <w:rFonts w:ascii="黑体" w:hAnsi="黑体" w:eastAsia="黑体" w:cs="宋体"/>
          <w:snapToGrid w:val="0"/>
          <w:sz w:val="36"/>
          <w:szCs w:val="36"/>
        </w:rPr>
      </w:pPr>
    </w:p>
    <w:p>
      <w:pPr>
        <w:pStyle w:val="27"/>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7"/>
        <w:ind w:firstLine="2345" w:firstLineChars="700"/>
        <w:rPr>
          <w:rFonts w:ascii="宋体" w:cs="宋体"/>
          <w:sz w:val="32"/>
          <w:szCs w:val="32"/>
        </w:rPr>
      </w:pPr>
    </w:p>
    <w:p>
      <w:pPr>
        <w:pStyle w:val="27"/>
        <w:ind w:firstLine="3150" w:firstLineChars="1000"/>
        <w:rPr>
          <w:rFonts w:ascii="宋体" w:cs="宋体"/>
          <w:b/>
          <w:bCs/>
          <w:sz w:val="30"/>
          <w:szCs w:val="30"/>
        </w:rPr>
      </w:pPr>
    </w:p>
    <w:p>
      <w:pPr>
        <w:pStyle w:val="27"/>
        <w:ind w:firstLine="688"/>
        <w:rPr>
          <w:rFonts w:ascii="宋体" w:cs="宋体"/>
          <w:sz w:val="32"/>
          <w:szCs w:val="32"/>
        </w:rPr>
      </w:pPr>
    </w:p>
    <w:p>
      <w:pPr>
        <w:pStyle w:val="27"/>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7"/>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35" w:name="_Toc24025"/>
      <w:bookmarkStart w:id="36" w:name="_Toc8581"/>
      <w:bookmarkStart w:id="37" w:name="_Toc25160"/>
      <w:bookmarkStart w:id="38" w:name="_Toc29658"/>
      <w:bookmarkStart w:id="39" w:name="_Toc26388"/>
      <w:bookmarkStart w:id="40" w:name="_Toc25572"/>
      <w:bookmarkStart w:id="41" w:name="_Toc2536"/>
      <w:bookmarkStart w:id="42" w:name="_Toc18593"/>
    </w:p>
    <w:p>
      <w:pPr>
        <w:jc w:val="center"/>
        <w:rPr>
          <w:rFonts w:ascii="宋体" w:cs="宋体"/>
          <w:b/>
          <w:bCs/>
          <w:kern w:val="0"/>
          <w:sz w:val="36"/>
          <w:szCs w:val="36"/>
        </w:rPr>
      </w:pPr>
    </w:p>
    <w:p>
      <w:pPr>
        <w:pStyle w:val="36"/>
      </w:pPr>
    </w:p>
    <w:bookmarkEnd w:id="35"/>
    <w:bookmarkEnd w:id="36"/>
    <w:bookmarkEnd w:id="37"/>
    <w:bookmarkEnd w:id="38"/>
    <w:bookmarkEnd w:id="39"/>
    <w:bookmarkEnd w:id="40"/>
    <w:bookmarkEnd w:id="41"/>
    <w:p>
      <w:pPr>
        <w:pStyle w:val="3"/>
        <w:keepNext/>
        <w:widowControl/>
        <w:autoSpaceDE w:val="0"/>
        <w:autoSpaceDN w:val="0"/>
        <w:adjustRightInd w:val="0"/>
        <w:snapToGrid w:val="0"/>
        <w:spacing w:line="360" w:lineRule="auto"/>
        <w:textAlignment w:val="baseline"/>
        <w:rPr>
          <w:b/>
          <w:kern w:val="0"/>
          <w:sz w:val="28"/>
          <w:szCs w:val="28"/>
        </w:rPr>
      </w:pPr>
      <w:bookmarkStart w:id="43" w:name="_Toc7407"/>
      <w:bookmarkStart w:id="44" w:name="_Toc31185"/>
      <w:bookmarkStart w:id="45" w:name="_Toc6235"/>
      <w:bookmarkStart w:id="46" w:name="_Toc10795"/>
      <w:bookmarkStart w:id="47" w:name="_Toc5441"/>
      <w:bookmarkStart w:id="48" w:name="_Toc17910"/>
      <w:bookmarkStart w:id="49" w:name="_Toc21194"/>
      <w:bookmarkStart w:id="50" w:name="_Toc2122"/>
      <w:bookmarkStart w:id="51" w:name="_Toc21192"/>
      <w:bookmarkStart w:id="52" w:name="_Toc8214"/>
      <w:bookmarkStart w:id="53" w:name="_Toc13905"/>
      <w:bookmarkStart w:id="54" w:name="_Toc7287"/>
      <w:bookmarkStart w:id="55" w:name="_Toc28891"/>
      <w:bookmarkStart w:id="56" w:name="_Toc25289"/>
      <w:bookmarkStart w:id="57" w:name="_Toc1264"/>
      <w:r>
        <w:rPr>
          <w:b/>
          <w:kern w:val="0"/>
          <w:sz w:val="28"/>
          <w:szCs w:val="28"/>
        </w:rPr>
        <w:t>附件1：</w:t>
      </w:r>
      <w:r>
        <w:rPr>
          <w:rFonts w:hint="eastAsia"/>
          <w:b/>
          <w:kern w:val="0"/>
          <w:sz w:val="28"/>
          <w:szCs w:val="28"/>
          <w:lang w:eastAsia="zh-CN"/>
        </w:rPr>
        <w:t>响应</w:t>
      </w:r>
      <w:r>
        <w:rPr>
          <w:b/>
          <w:kern w:val="0"/>
          <w:sz w:val="28"/>
          <w:szCs w:val="28"/>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w:t>
      </w:r>
      <w:r>
        <w:rPr>
          <w:rFonts w:hint="eastAsia" w:ascii="宋体" w:hAnsi="宋体" w:cs="宋体"/>
          <w:color w:val="000000"/>
          <w:sz w:val="24"/>
          <w:szCs w:val="24"/>
          <w:lang w:eastAsia="zh-CN"/>
        </w:rPr>
        <w:t>总报价为</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万元，其中分户计量共计</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万元，热力站自控共计</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万元。</w:t>
      </w:r>
      <w:r>
        <w:rPr>
          <w:rFonts w:hint="eastAsia" w:ascii="宋体" w:hAnsi="宋体" w:cs="宋体"/>
          <w:color w:val="000000"/>
          <w:sz w:val="24"/>
          <w:szCs w:val="24"/>
          <w:lang w:eastAsia="zh-CN"/>
        </w:rPr>
        <w:t>现做</w:t>
      </w:r>
      <w:r>
        <w:rPr>
          <w:rFonts w:hint="eastAsia" w:ascii="宋体" w:hAnsi="宋体" w:eastAsia="宋体" w:cs="宋体"/>
          <w:color w:val="000000"/>
          <w:sz w:val="24"/>
          <w:szCs w:val="24"/>
        </w:rPr>
        <w:t>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3"/>
        <w:keepNext/>
        <w:widowControl/>
        <w:autoSpaceDE w:val="0"/>
        <w:autoSpaceDN w:val="0"/>
        <w:adjustRightInd w:val="0"/>
        <w:snapToGrid w:val="0"/>
        <w:spacing w:line="360" w:lineRule="auto"/>
        <w:textAlignment w:val="baseline"/>
        <w:rPr>
          <w:b/>
          <w:kern w:val="0"/>
          <w:sz w:val="28"/>
          <w:szCs w:val="28"/>
        </w:rPr>
      </w:pPr>
      <w:bookmarkStart w:id="58" w:name="_Toc8562"/>
      <w:bookmarkStart w:id="59" w:name="_Toc27672"/>
      <w:bookmarkStart w:id="60" w:name="_Toc21922"/>
      <w:bookmarkStart w:id="61" w:name="_Toc27645"/>
      <w:bookmarkStart w:id="62" w:name="_Toc18936"/>
      <w:bookmarkStart w:id="63" w:name="_Toc12924"/>
      <w:bookmarkStart w:id="64" w:name="_Toc2998"/>
      <w:bookmarkStart w:id="65" w:name="_Toc4019"/>
      <w:bookmarkStart w:id="66" w:name="_Toc24540"/>
      <w:bookmarkStart w:id="67" w:name="_Toc28859"/>
      <w:bookmarkStart w:id="68" w:name="_Toc31352"/>
      <w:bookmarkStart w:id="69" w:name="_Toc27069"/>
      <w:bookmarkStart w:id="70" w:name="_Toc18578"/>
      <w:bookmarkStart w:id="71" w:name="_Toc12745"/>
      <w:bookmarkStart w:id="72" w:name="_Toc11513"/>
    </w:p>
    <w:p>
      <w:pPr>
        <w:pStyle w:val="3"/>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73" w:name="_Toc198862465"/>
      <w:bookmarkStart w:id="74" w:name="_Toc49162371"/>
      <w:r>
        <w:rPr>
          <w:b/>
          <w:kern w:val="0"/>
          <w:sz w:val="28"/>
          <w:szCs w:val="28"/>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rPr>
        <w:t xml:space="preserve"> </w:t>
      </w:r>
    </w:p>
    <w:bookmarkEnd w:id="73"/>
    <w:bookmarkEnd w:id="74"/>
    <w:p>
      <w:pPr>
        <w:pStyle w:val="4"/>
        <w:ind w:right="-293" w:rightChars="-146"/>
        <w:jc w:val="center"/>
        <w:rPr>
          <w:rFonts w:ascii="宋体"/>
          <w:sz w:val="24"/>
          <w:szCs w:val="24"/>
          <w:lang w:val="zh-CN"/>
        </w:rPr>
      </w:pPr>
      <w:bookmarkStart w:id="75" w:name="_Toc12389"/>
      <w:bookmarkStart w:id="76" w:name="_Toc360630804"/>
      <w:bookmarkStart w:id="77" w:name="_Toc2962"/>
      <w:bookmarkStart w:id="78" w:name="_Toc13257"/>
      <w:bookmarkStart w:id="79" w:name="_Toc7142"/>
      <w:bookmarkStart w:id="80" w:name="_Toc396236625"/>
      <w:bookmarkStart w:id="81" w:name="_Toc27295"/>
      <w:bookmarkStart w:id="82" w:name="_Toc16317"/>
      <w:bookmarkStart w:id="83" w:name="_Toc396236151"/>
      <w:bookmarkStart w:id="84" w:name="_Toc18230"/>
      <w:r>
        <w:rPr>
          <w:rFonts w:hint="eastAsia" w:ascii="宋体"/>
          <w:sz w:val="24"/>
          <w:szCs w:val="24"/>
          <w:lang w:eastAsia="zh-CN"/>
        </w:rPr>
        <w:t>二</w:t>
      </w:r>
      <w:r>
        <w:rPr>
          <w:rFonts w:hint="eastAsia" w:ascii="宋体"/>
          <w:sz w:val="24"/>
          <w:szCs w:val="24"/>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3"/>
        <w:keepNext/>
        <w:widowControl/>
        <w:autoSpaceDE w:val="0"/>
        <w:autoSpaceDN w:val="0"/>
        <w:adjustRightInd w:val="0"/>
        <w:snapToGrid w:val="0"/>
        <w:spacing w:line="360" w:lineRule="auto"/>
        <w:textAlignment w:val="baseline"/>
        <w:rPr>
          <w:b/>
          <w:kern w:val="0"/>
          <w:sz w:val="28"/>
          <w:szCs w:val="28"/>
        </w:rPr>
      </w:pPr>
      <w:bookmarkStart w:id="85" w:name="_Toc8164"/>
      <w:bookmarkStart w:id="86" w:name="_Toc16972"/>
      <w:bookmarkStart w:id="87" w:name="_Toc15437"/>
      <w:bookmarkStart w:id="88" w:name="_Toc26549"/>
      <w:bookmarkStart w:id="89" w:name="_Toc13241"/>
      <w:bookmarkStart w:id="90" w:name="_Toc27913"/>
      <w:bookmarkStart w:id="91" w:name="_Toc31358"/>
      <w:bookmarkStart w:id="92" w:name="_Toc10367"/>
      <w:bookmarkStart w:id="93" w:name="_Toc20277"/>
      <w:bookmarkStart w:id="94" w:name="_Toc16316"/>
      <w:bookmarkStart w:id="95" w:name="_Toc22278"/>
      <w:bookmarkStart w:id="96" w:name="_Toc8425"/>
      <w:bookmarkStart w:id="97" w:name="_Toc9265"/>
      <w:bookmarkStart w:id="98" w:name="_Toc13184"/>
      <w:bookmarkStart w:id="99" w:name="_Toc15030"/>
      <w:r>
        <w:rPr>
          <w:b/>
          <w:kern w:val="0"/>
          <w:sz w:val="28"/>
          <w:szCs w:val="28"/>
        </w:rPr>
        <w:t>附件3：</w:t>
      </w:r>
      <w:r>
        <w:rPr>
          <w:rFonts w:hint="eastAsia"/>
          <w:b/>
          <w:kern w:val="0"/>
          <w:sz w:val="28"/>
          <w:szCs w:val="28"/>
          <w:lang w:eastAsia="zh-CN"/>
        </w:rPr>
        <w:t>响应</w:t>
      </w:r>
      <w:r>
        <w:rPr>
          <w:b/>
          <w:kern w:val="0"/>
          <w:sz w:val="28"/>
          <w:szCs w:val="28"/>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tbl>
      <w:tblPr>
        <w:tblStyle w:val="28"/>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widowControl/>
        <w:autoSpaceDE w:val="0"/>
        <w:autoSpaceDN w:val="0"/>
        <w:adjustRightInd w:val="0"/>
        <w:snapToGrid w:val="0"/>
        <w:spacing w:line="360" w:lineRule="auto"/>
        <w:textAlignment w:val="baseline"/>
        <w:rPr>
          <w:b/>
          <w:kern w:val="0"/>
          <w:sz w:val="28"/>
          <w:szCs w:val="28"/>
        </w:rPr>
      </w:pPr>
      <w:bookmarkStart w:id="100" w:name="_Toc23743"/>
      <w:bookmarkStart w:id="101" w:name="_Toc14650"/>
      <w:bookmarkStart w:id="102" w:name="_Toc21368"/>
      <w:bookmarkStart w:id="103" w:name="_Toc23947"/>
      <w:bookmarkStart w:id="104" w:name="_Toc31166"/>
      <w:bookmarkStart w:id="105" w:name="_Toc17474"/>
      <w:bookmarkStart w:id="106" w:name="_Toc22604"/>
      <w:bookmarkStart w:id="107" w:name="_Toc5056"/>
      <w:bookmarkStart w:id="108" w:name="_Toc23998"/>
      <w:bookmarkStart w:id="109" w:name="_Toc13575"/>
      <w:bookmarkStart w:id="110" w:name="_Toc25563"/>
      <w:bookmarkStart w:id="111" w:name="_Toc3150"/>
      <w:bookmarkStart w:id="112" w:name="_Toc3288"/>
      <w:bookmarkStart w:id="113" w:name="_Toc29165"/>
      <w:r>
        <w:rPr>
          <w:b/>
          <w:kern w:val="0"/>
          <w:sz w:val="28"/>
          <w:szCs w:val="28"/>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rPr>
      </w:pPr>
    </w:p>
    <w:tbl>
      <w:tblPr>
        <w:tblStyle w:val="28"/>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4"/>
        <w:pageBreakBefore/>
        <w:jc w:val="both"/>
      </w:pPr>
      <w:bookmarkStart w:id="114" w:name="_Toc900"/>
      <w:bookmarkStart w:id="115" w:name="_Toc14477"/>
      <w:bookmarkStart w:id="116" w:name="_Toc2580"/>
      <w:bookmarkStart w:id="117" w:name="_Toc3848"/>
      <w:bookmarkStart w:id="118" w:name="_Toc27824"/>
      <w:bookmarkStart w:id="119" w:name="_Toc13141"/>
      <w:bookmarkStart w:id="120" w:name="_Toc5186"/>
      <w:bookmarkStart w:id="121" w:name="_Toc130"/>
      <w:bookmarkStart w:id="122" w:name="_Toc22564"/>
      <w:bookmarkStart w:id="123" w:name="_Toc29218"/>
      <w:bookmarkStart w:id="124" w:name="_Toc15243"/>
      <w:bookmarkStart w:id="125" w:name="_Toc26340"/>
      <w:bookmarkStart w:id="126" w:name="_Toc9458"/>
      <w:bookmarkStart w:id="127" w:name="_Toc12196"/>
      <w:r>
        <w:rPr>
          <w:rStyle w:val="53"/>
          <w:b/>
          <w:bCs/>
        </w:rPr>
        <w:t>附件</w:t>
      </w:r>
      <w:r>
        <w:rPr>
          <w:rStyle w:val="53"/>
          <w:rFonts w:hint="eastAsia"/>
          <w:b/>
          <w:bCs/>
          <w:lang w:val="en-US" w:eastAsia="zh-CN"/>
        </w:rPr>
        <w:t>5</w:t>
      </w:r>
      <w:r>
        <w:rPr>
          <w:rStyle w:val="53"/>
          <w:b/>
          <w:bCs/>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28" w:name="_Toc18934"/>
      <w:bookmarkStart w:id="129" w:name="_Toc30221"/>
      <w:bookmarkStart w:id="130" w:name="_Toc7760"/>
      <w:bookmarkStart w:id="131" w:name="_Toc15219"/>
      <w:r>
        <w:rPr>
          <w:rFonts w:hint="eastAsia" w:ascii="仿宋" w:hAnsi="仿宋" w:eastAsia="仿宋" w:cs="仿宋"/>
          <w:sz w:val="24"/>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2" w:name="_Toc7968"/>
      <w:bookmarkStart w:id="133" w:name="_Toc8480"/>
      <w:bookmarkStart w:id="134" w:name="_Toc7829"/>
      <w:bookmarkStart w:id="135" w:name="_Toc14457"/>
      <w:r>
        <w:rPr>
          <w:rFonts w:hint="eastAsia" w:ascii="仿宋" w:hAnsi="仿宋" w:eastAsia="仿宋" w:cs="仿宋"/>
          <w:sz w:val="24"/>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6" w:name="_Toc16653"/>
      <w:bookmarkStart w:id="137" w:name="_Toc5095"/>
      <w:bookmarkStart w:id="138" w:name="_Toc23806"/>
      <w:bookmarkStart w:id="139" w:name="_Toc19041"/>
      <w:r>
        <w:rPr>
          <w:rFonts w:hint="eastAsia" w:ascii="仿宋" w:hAnsi="仿宋" w:eastAsia="仿宋" w:cs="仿宋"/>
          <w:sz w:val="24"/>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40" w:name="_Toc13720"/>
      <w:bookmarkStart w:id="141" w:name="_Toc17953"/>
      <w:bookmarkStart w:id="142" w:name="_Toc24037"/>
      <w:bookmarkStart w:id="143" w:name="_Toc13196"/>
      <w:r>
        <w:rPr>
          <w:rFonts w:hint="eastAsia" w:ascii="仿宋" w:hAnsi="仿宋" w:eastAsia="仿宋" w:cs="仿宋"/>
          <w:sz w:val="24"/>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44" w:name="_Toc13014"/>
      <w:bookmarkStart w:id="145" w:name="_Toc7190"/>
      <w:bookmarkStart w:id="146" w:name="_Toc13749"/>
      <w:bookmarkStart w:id="147" w:name="_Toc3102"/>
      <w:r>
        <w:rPr>
          <w:rFonts w:hint="eastAsia" w:ascii="仿宋" w:hAnsi="仿宋" w:eastAsia="仿宋" w:cs="仿宋"/>
          <w:sz w:val="24"/>
          <w:lang w:eastAsia="zh-CN"/>
        </w:rPr>
        <w:t>四</w:t>
      </w:r>
      <w:r>
        <w:rPr>
          <w:rFonts w:hint="eastAsia" w:ascii="仿宋" w:hAnsi="仿宋" w:eastAsia="仿宋" w:cs="仿宋"/>
          <w:sz w:val="24"/>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pStyle w:val="11"/>
        <w:rPr>
          <w:rFonts w:hint="default"/>
          <w:lang w:val="en-US" w:eastAsia="zh-CN"/>
        </w:rPr>
      </w:pPr>
    </w:p>
    <w:p>
      <w:pPr>
        <w:keepNext w:val="0"/>
        <w:keepLines w:val="0"/>
        <w:pageBreakBefore w:val="0"/>
        <w:numPr>
          <w:ilvl w:val="0"/>
          <w:numId w:val="2"/>
        </w:numPr>
        <w:kinsoku/>
        <w:overflowPunct/>
        <w:topLinePunct w:val="0"/>
        <w:autoSpaceDE/>
        <w:autoSpaceDN/>
        <w:bidi w:val="0"/>
        <w:adjustRightInd/>
        <w:snapToGrid/>
        <w:spacing w:line="560" w:lineRule="exact"/>
        <w:jc w:val="center"/>
        <w:textAlignment w:val="auto"/>
        <w:outlineLvl w:val="1"/>
        <w:rPr>
          <w:rFonts w:hint="eastAsia" w:ascii="宋体" w:hAnsi="Calibri" w:eastAsia="宋体" w:cs="宋体"/>
          <w:b/>
          <w:bCs/>
          <w:snapToGrid w:val="0"/>
          <w:kern w:val="0"/>
          <w:sz w:val="44"/>
          <w:szCs w:val="44"/>
          <w:lang w:val="en-US" w:eastAsia="zh-CN" w:bidi="ar-SA"/>
        </w:rPr>
      </w:pPr>
      <w:r>
        <w:rPr>
          <w:rFonts w:hint="eastAsia" w:ascii="宋体" w:hAnsi="Calibri" w:eastAsia="宋体" w:cs="宋体"/>
          <w:b/>
          <w:bCs/>
          <w:snapToGrid w:val="0"/>
          <w:kern w:val="0"/>
          <w:sz w:val="44"/>
          <w:szCs w:val="44"/>
          <w:lang w:val="en-US" w:eastAsia="zh-CN" w:bidi="ar-SA"/>
        </w:rPr>
        <w:t>技术要求</w:t>
      </w:r>
    </w:p>
    <w:p>
      <w:pPr>
        <w:keepNext w:val="0"/>
        <w:keepLines w:val="0"/>
        <w:pageBreakBefore w:val="0"/>
        <w:numPr>
          <w:ilvl w:val="0"/>
          <w:numId w:val="3"/>
        </w:numPr>
        <w:kinsoku/>
        <w:overflowPunct/>
        <w:topLinePunct w:val="0"/>
        <w:autoSpaceDE/>
        <w:autoSpaceDN/>
        <w:bidi w:val="0"/>
        <w:adjustRightInd/>
        <w:snapToGrid/>
        <w:spacing w:line="560" w:lineRule="exact"/>
        <w:jc w:val="center"/>
        <w:textAlignment w:val="auto"/>
        <w:outlineLvl w:val="1"/>
        <w:rPr>
          <w:rFonts w:hint="eastAsia" w:ascii="宋体" w:hAnsi="Calibri" w:eastAsia="宋体" w:cs="宋体"/>
          <w:b/>
          <w:bCs/>
          <w:snapToGrid w:val="0"/>
          <w:kern w:val="0"/>
          <w:sz w:val="44"/>
          <w:szCs w:val="44"/>
          <w:lang w:val="en-US" w:eastAsia="zh-CN" w:bidi="ar-SA"/>
        </w:rPr>
      </w:pPr>
      <w:r>
        <w:rPr>
          <w:rFonts w:hint="eastAsia" w:ascii="宋体" w:hAnsi="Calibri" w:eastAsia="宋体" w:cs="宋体"/>
          <w:b/>
          <w:bCs/>
          <w:snapToGrid w:val="0"/>
          <w:kern w:val="0"/>
          <w:sz w:val="44"/>
          <w:szCs w:val="44"/>
          <w:lang w:val="en-US" w:eastAsia="zh-CN" w:bidi="ar-SA"/>
        </w:rPr>
        <w:t>分户计量技术要求</w:t>
      </w:r>
    </w:p>
    <w:p>
      <w:pPr>
        <w:pStyle w:val="23"/>
        <w:spacing w:before="280" w:after="240" w:afterAutospacing="0"/>
        <w:rPr>
          <w:rFonts w:ascii="宋体" w:hAnsi="宋体"/>
          <w:b/>
        </w:rPr>
      </w:pPr>
      <w:r>
        <w:rPr>
          <w:rFonts w:ascii="宋体" w:hAnsi="宋体"/>
          <w:b/>
        </w:rPr>
        <w:t>一、总则</w:t>
      </w:r>
    </w:p>
    <w:p>
      <w:pPr>
        <w:spacing w:line="360" w:lineRule="auto"/>
        <w:jc w:val="left"/>
        <w:rPr>
          <w:rFonts w:ascii="宋体" w:hAnsi="宋体"/>
          <w:color w:val="auto"/>
          <w:szCs w:val="21"/>
        </w:rPr>
      </w:pPr>
      <w:r>
        <w:rPr>
          <w:rFonts w:ascii="宋体" w:hAnsi="宋体"/>
          <w:color w:val="000000"/>
          <w:szCs w:val="21"/>
        </w:rPr>
        <w:t>1.1本技术规范书适用于</w:t>
      </w:r>
      <w:r>
        <w:rPr>
          <w:rFonts w:hint="eastAsia" w:ascii="宋体" w:hAnsi="宋体"/>
          <w:color w:val="000000"/>
          <w:szCs w:val="21"/>
          <w:lang w:val="en-US" w:eastAsia="zh-CN"/>
        </w:rPr>
        <w:t>分户计量</w:t>
      </w:r>
      <w:r>
        <w:rPr>
          <w:rFonts w:ascii="宋体" w:hAnsi="宋体"/>
          <w:color w:val="000000"/>
          <w:szCs w:val="21"/>
        </w:rPr>
        <w:t>系统设备及其配套的电缆、套管等材料的采购、安装</w:t>
      </w:r>
      <w:r>
        <w:rPr>
          <w:rFonts w:hint="eastAsia" w:ascii="宋体" w:hAnsi="宋体"/>
          <w:color w:val="000000"/>
          <w:szCs w:val="21"/>
          <w:lang w:eastAsia="zh-CN"/>
        </w:rPr>
        <w:t>、</w:t>
      </w:r>
      <w:r>
        <w:rPr>
          <w:rFonts w:ascii="宋体" w:hAnsi="宋体"/>
          <w:color w:val="000000"/>
          <w:szCs w:val="21"/>
        </w:rPr>
        <w:t>调试，它提出了</w:t>
      </w:r>
      <w:r>
        <w:rPr>
          <w:rFonts w:hint="eastAsia" w:ascii="宋体" w:hAnsi="宋体"/>
          <w:color w:val="000000"/>
          <w:szCs w:val="21"/>
          <w:lang w:val="en-US" w:eastAsia="zh-CN"/>
        </w:rPr>
        <w:t>分户计量</w:t>
      </w:r>
      <w:r>
        <w:rPr>
          <w:rFonts w:ascii="宋体" w:hAnsi="宋体"/>
          <w:color w:val="000000"/>
          <w:szCs w:val="21"/>
        </w:rPr>
        <w:t>系统的</w:t>
      </w:r>
      <w:r>
        <w:rPr>
          <w:rFonts w:ascii="宋体" w:hAnsi="宋体"/>
          <w:color w:val="auto"/>
          <w:szCs w:val="21"/>
        </w:rPr>
        <w:t>制造、供货、</w:t>
      </w:r>
      <w:r>
        <w:rPr>
          <w:rFonts w:hint="eastAsia" w:ascii="宋体" w:hAnsi="宋体"/>
          <w:color w:val="auto"/>
          <w:szCs w:val="21"/>
          <w:lang w:eastAsia="zh-CN"/>
        </w:rPr>
        <w:t>安装</w:t>
      </w:r>
      <w:r>
        <w:rPr>
          <w:rFonts w:ascii="宋体" w:hAnsi="宋体"/>
          <w:color w:val="auto"/>
          <w:szCs w:val="21"/>
        </w:rPr>
        <w:t>、性能、调试等方面的要求。</w:t>
      </w:r>
    </w:p>
    <w:p>
      <w:pPr>
        <w:snapToGrid w:val="0"/>
        <w:spacing w:line="360" w:lineRule="auto"/>
        <w:rPr>
          <w:rFonts w:ascii="宋体" w:hAnsi="宋体"/>
          <w:color w:val="000000"/>
          <w:szCs w:val="21"/>
        </w:rPr>
      </w:pPr>
      <w:r>
        <w:rPr>
          <w:rFonts w:ascii="宋体" w:hAnsi="宋体"/>
          <w:color w:val="000000"/>
          <w:szCs w:val="21"/>
        </w:rPr>
        <w:t>1.2规范提出的是最低限度的技术要求。凡本技术规范中未规定，但在相关设备的国家标准中有规定的规范条文，投标方应按相应标准的条文进行设备设计、制造、试验和安装。对国家有关安全、环保等强制性标准的，必须满足其要求。</w:t>
      </w:r>
    </w:p>
    <w:p>
      <w:pPr>
        <w:snapToGrid w:val="0"/>
        <w:spacing w:line="360" w:lineRule="auto"/>
        <w:rPr>
          <w:rFonts w:ascii="宋体" w:hAnsi="宋体"/>
          <w:color w:val="000000"/>
          <w:szCs w:val="21"/>
        </w:rPr>
      </w:pPr>
      <w:r>
        <w:rPr>
          <w:rFonts w:ascii="宋体" w:hAnsi="宋体"/>
          <w:color w:val="000000"/>
          <w:szCs w:val="21"/>
        </w:rPr>
        <w:t>1.3没有以书面形式对本招标要求的条文提出异议，则意味着投标方提供的设备完全符合本招标书的要求。如有异议，不管是多么微小，都应在投标文件中以“对规范书的意见和同规范书的差异”为标题的专门章节中加以详细描述。</w:t>
      </w:r>
    </w:p>
    <w:p>
      <w:pPr>
        <w:snapToGrid w:val="0"/>
        <w:spacing w:line="360" w:lineRule="auto"/>
        <w:rPr>
          <w:rFonts w:ascii="宋体" w:hAnsi="宋体"/>
          <w:color w:val="000000"/>
          <w:szCs w:val="21"/>
        </w:rPr>
      </w:pPr>
      <w:r>
        <w:rPr>
          <w:rFonts w:ascii="宋体" w:hAnsi="宋体"/>
          <w:color w:val="000000"/>
          <w:szCs w:val="21"/>
        </w:rPr>
        <w:t>1.4  本技术规范书所使用的标准如与投标方所执行的标准不一致时, 按较高标准执行。</w:t>
      </w:r>
    </w:p>
    <w:p>
      <w:pPr>
        <w:snapToGrid w:val="0"/>
        <w:spacing w:line="360" w:lineRule="auto"/>
        <w:rPr>
          <w:rFonts w:ascii="宋体" w:hAnsi="宋体"/>
          <w:color w:val="000000"/>
          <w:szCs w:val="21"/>
        </w:rPr>
      </w:pPr>
      <w:r>
        <w:rPr>
          <w:rFonts w:ascii="宋体" w:hAnsi="宋体"/>
          <w:color w:val="000000"/>
          <w:szCs w:val="21"/>
        </w:rPr>
        <w:t>1.5  本技术规范书经买、卖双方确认后作为订货合同的技术附件, 与合同正文具有同等的法律效力。</w:t>
      </w:r>
    </w:p>
    <w:p>
      <w:pPr>
        <w:snapToGrid w:val="0"/>
        <w:spacing w:line="360" w:lineRule="auto"/>
        <w:rPr>
          <w:rFonts w:hint="eastAsia" w:ascii="宋体" w:hAnsi="宋体" w:eastAsia="宋体"/>
          <w:color w:val="000000"/>
          <w:szCs w:val="21"/>
          <w:lang w:eastAsia="zh-CN"/>
        </w:rPr>
      </w:pPr>
      <w:r>
        <w:rPr>
          <w:rFonts w:ascii="宋体" w:hAnsi="宋体"/>
          <w:color w:val="000000"/>
          <w:szCs w:val="21"/>
        </w:rPr>
        <w:t>1.6　投标人在投标时应提供的技术文件</w:t>
      </w:r>
      <w:r>
        <w:rPr>
          <w:rFonts w:hint="eastAsia" w:ascii="宋体" w:hAnsi="宋体"/>
          <w:color w:val="000000"/>
          <w:szCs w:val="21"/>
          <w:lang w:eastAsia="zh-CN"/>
        </w:rPr>
        <w:t>；</w:t>
      </w:r>
    </w:p>
    <w:p>
      <w:pPr>
        <w:snapToGrid w:val="0"/>
        <w:spacing w:line="360" w:lineRule="auto"/>
        <w:rPr>
          <w:rFonts w:ascii="宋体" w:hAnsi="宋体"/>
          <w:color w:val="000000"/>
          <w:szCs w:val="21"/>
        </w:rPr>
      </w:pPr>
      <w:r>
        <w:rPr>
          <w:rFonts w:ascii="宋体" w:hAnsi="宋体"/>
          <w:color w:val="000000"/>
          <w:szCs w:val="21"/>
        </w:rPr>
        <w:t>1.6.1质量保证模式及质量体系认证证书；</w:t>
      </w:r>
    </w:p>
    <w:p>
      <w:pPr>
        <w:snapToGrid w:val="0"/>
        <w:spacing w:line="360" w:lineRule="auto"/>
        <w:rPr>
          <w:rFonts w:ascii="宋体" w:hAnsi="宋体"/>
          <w:color w:val="000000"/>
          <w:szCs w:val="21"/>
        </w:rPr>
      </w:pPr>
      <w:r>
        <w:rPr>
          <w:rFonts w:ascii="宋体" w:hAnsi="宋体"/>
          <w:color w:val="000000"/>
          <w:szCs w:val="21"/>
        </w:rPr>
        <w:t>1.6.2应用在供热的相关产品的销售及运行业绩；</w:t>
      </w:r>
    </w:p>
    <w:p>
      <w:pPr>
        <w:snapToGrid w:val="0"/>
        <w:spacing w:line="360" w:lineRule="auto"/>
        <w:rPr>
          <w:rFonts w:ascii="宋体" w:hAnsi="宋体"/>
          <w:color w:val="000000"/>
          <w:szCs w:val="21"/>
        </w:rPr>
      </w:pPr>
      <w:r>
        <w:rPr>
          <w:rFonts w:ascii="宋体" w:hAnsi="宋体"/>
          <w:color w:val="000000"/>
          <w:szCs w:val="21"/>
        </w:rPr>
        <w:t>1.6.3设备认定的主要技术文件；</w:t>
      </w:r>
    </w:p>
    <w:p>
      <w:pPr>
        <w:snapToGrid w:val="0"/>
        <w:spacing w:line="360" w:lineRule="auto"/>
        <w:rPr>
          <w:rFonts w:ascii="宋体" w:hAnsi="宋体"/>
          <w:color w:val="000000"/>
          <w:szCs w:val="21"/>
        </w:rPr>
      </w:pPr>
      <w:r>
        <w:rPr>
          <w:rFonts w:ascii="宋体" w:hAnsi="宋体"/>
          <w:color w:val="000000"/>
          <w:szCs w:val="21"/>
        </w:rPr>
        <w:t>1.6.4产品主要技术参数表；</w:t>
      </w:r>
    </w:p>
    <w:p>
      <w:pPr>
        <w:snapToGrid w:val="0"/>
        <w:spacing w:line="360" w:lineRule="auto"/>
        <w:rPr>
          <w:rFonts w:ascii="宋体" w:hAnsi="宋体"/>
          <w:color w:val="000000"/>
          <w:szCs w:val="21"/>
        </w:rPr>
      </w:pPr>
      <w:r>
        <w:rPr>
          <w:rFonts w:ascii="宋体" w:hAnsi="宋体"/>
          <w:color w:val="000000"/>
          <w:szCs w:val="21"/>
        </w:rPr>
        <w:t>1.6.5技术差异表；</w:t>
      </w:r>
    </w:p>
    <w:p>
      <w:pPr>
        <w:snapToGrid w:val="0"/>
        <w:spacing w:line="360" w:lineRule="auto"/>
        <w:rPr>
          <w:rFonts w:ascii="宋体" w:hAnsi="宋体"/>
          <w:color w:val="000000"/>
          <w:szCs w:val="21"/>
        </w:rPr>
      </w:pPr>
      <w:r>
        <w:rPr>
          <w:rFonts w:ascii="宋体" w:hAnsi="宋体"/>
          <w:color w:val="000000"/>
          <w:szCs w:val="21"/>
        </w:rPr>
        <w:t>1.6.6投标人建议提供的备品备件清单和专用工具与仪器仪表清单；</w:t>
      </w:r>
    </w:p>
    <w:p>
      <w:pPr>
        <w:snapToGrid w:val="0"/>
        <w:spacing w:line="360" w:lineRule="auto"/>
        <w:rPr>
          <w:rFonts w:ascii="宋体" w:hAnsi="宋体"/>
          <w:color w:val="000000"/>
          <w:szCs w:val="21"/>
        </w:rPr>
      </w:pPr>
      <w:r>
        <w:rPr>
          <w:rFonts w:ascii="宋体" w:hAnsi="宋体"/>
          <w:color w:val="000000"/>
          <w:szCs w:val="21"/>
        </w:rPr>
        <w:t>1.7在签订合同之后，招标方保留对本技术规范书提出补充要求和修改的权力，投标方应承诺予以配合。如提出修改，具体项目和条件由招标方、投标方共同商定。</w:t>
      </w:r>
    </w:p>
    <w:p>
      <w:pPr>
        <w:snapToGrid w:val="0"/>
        <w:spacing w:line="360" w:lineRule="auto"/>
        <w:rPr>
          <w:rFonts w:ascii="宋体" w:hAnsi="宋体"/>
          <w:color w:val="000000"/>
          <w:szCs w:val="21"/>
        </w:rPr>
      </w:pPr>
      <w:r>
        <w:rPr>
          <w:rFonts w:ascii="宋体" w:hAnsi="宋体"/>
          <w:color w:val="000000"/>
          <w:szCs w:val="21"/>
        </w:rPr>
        <w:t>1.8所有文件、图纸及相互通讯，均使用中文；技术规范书及合同规定的文件，包括图纸、计算、说明、使用手册等，均使用国际单位制（SI）。</w:t>
      </w:r>
    </w:p>
    <w:p>
      <w:pPr>
        <w:snapToGrid w:val="0"/>
        <w:spacing w:line="360" w:lineRule="auto"/>
        <w:rPr>
          <w:rFonts w:ascii="宋体" w:hAnsi="宋体"/>
        </w:rPr>
      </w:pPr>
      <w:r>
        <w:rPr>
          <w:rFonts w:ascii="宋体" w:hAnsi="宋体"/>
        </w:rPr>
        <w:t>1.9投标方所采用的产品，必须是技术和工艺先进，并经过两年以上运行实践证明是成熟可靠的产品，对于未经过实践的设计不予采纳。</w:t>
      </w:r>
    </w:p>
    <w:p>
      <w:pPr>
        <w:snapToGrid w:val="0"/>
        <w:spacing w:line="360" w:lineRule="auto"/>
        <w:rPr>
          <w:rFonts w:ascii="宋体" w:hAnsi="宋体"/>
        </w:rPr>
      </w:pPr>
      <w:r>
        <w:rPr>
          <w:rFonts w:ascii="宋体" w:hAnsi="宋体"/>
        </w:rPr>
        <w:t>1.10投标方对提供的设备及材料负有全部技术责任，主要外购零部件必须满足本技术规范要求。</w:t>
      </w:r>
    </w:p>
    <w:p>
      <w:pPr>
        <w:snapToGrid w:val="0"/>
        <w:spacing w:line="360" w:lineRule="auto"/>
        <w:rPr>
          <w:rFonts w:ascii="宋体" w:hAnsi="宋体"/>
        </w:rPr>
      </w:pPr>
      <w:r>
        <w:rPr>
          <w:rFonts w:ascii="宋体" w:hAnsi="宋体"/>
        </w:rPr>
        <w:t>1.1</w:t>
      </w:r>
      <w:r>
        <w:rPr>
          <w:rFonts w:hint="eastAsia" w:ascii="宋体" w:hAnsi="宋体"/>
          <w:lang w:val="en-US" w:eastAsia="zh-CN"/>
        </w:rPr>
        <w:t>1</w:t>
      </w:r>
      <w:r>
        <w:rPr>
          <w:rFonts w:ascii="宋体" w:hAnsi="宋体"/>
        </w:rPr>
        <w:t>本标段为</w:t>
      </w:r>
      <w:r>
        <w:rPr>
          <w:rFonts w:hint="eastAsia" w:ascii="宋体" w:hAnsi="宋体"/>
          <w:lang w:val="en-US" w:eastAsia="zh-CN"/>
        </w:rPr>
        <w:t>分户计量</w:t>
      </w:r>
      <w:r>
        <w:rPr>
          <w:rFonts w:ascii="宋体" w:hAnsi="宋体"/>
        </w:rPr>
        <w:t>系统及其配套的电缆、套管等材料的采购、施工</w:t>
      </w:r>
      <w:r>
        <w:rPr>
          <w:rFonts w:hint="eastAsia" w:ascii="宋体" w:hAnsi="宋体"/>
        </w:rPr>
        <w:t>、安装</w:t>
      </w:r>
      <w:r>
        <w:rPr>
          <w:rFonts w:ascii="宋体" w:hAnsi="宋体"/>
        </w:rPr>
        <w:t>调试</w:t>
      </w:r>
      <w:r>
        <w:rPr>
          <w:rFonts w:hint="eastAsia" w:ascii="宋体" w:hAnsi="宋体"/>
        </w:rPr>
        <w:t>和系统对接后功能调试</w:t>
      </w:r>
      <w:r>
        <w:rPr>
          <w:rFonts w:ascii="宋体" w:hAnsi="宋体"/>
        </w:rPr>
        <w:t>，投标方主要工作量如下：</w:t>
      </w:r>
    </w:p>
    <w:p>
      <w:pPr>
        <w:snapToGrid w:val="0"/>
        <w:spacing w:line="360" w:lineRule="auto"/>
        <w:rPr>
          <w:rFonts w:ascii="宋体" w:hAnsi="宋体"/>
        </w:rPr>
      </w:pPr>
      <w:r>
        <w:rPr>
          <w:rFonts w:hint="eastAsia" w:ascii="宋体" w:hAnsi="宋体"/>
          <w:lang w:val="en-US" w:eastAsia="zh-CN"/>
        </w:rPr>
        <w:t>分户计量</w:t>
      </w:r>
      <w:r>
        <w:rPr>
          <w:rFonts w:ascii="宋体" w:hAnsi="宋体"/>
        </w:rPr>
        <w:t>系统（具体设备详单详见附</w:t>
      </w:r>
      <w:r>
        <w:rPr>
          <w:rFonts w:hint="eastAsia" w:ascii="宋体" w:hAnsi="宋体"/>
          <w:lang w:val="en-US" w:eastAsia="zh-CN"/>
        </w:rPr>
        <w:t>图</w:t>
      </w:r>
      <w:r>
        <w:rPr>
          <w:rFonts w:ascii="宋体" w:hAnsi="宋体"/>
        </w:rPr>
        <w:t>）的供货、安装、调试；</w:t>
      </w:r>
      <w:r>
        <w:rPr>
          <w:rFonts w:hint="eastAsia" w:ascii="宋体" w:hAnsi="宋体"/>
          <w:lang w:val="en-US" w:eastAsia="zh-CN"/>
        </w:rPr>
        <w:t>分户计量</w:t>
      </w:r>
      <w:r>
        <w:rPr>
          <w:rFonts w:ascii="宋体" w:hAnsi="宋体"/>
        </w:rPr>
        <w:t>系统安装所需的电缆、套管及其辅材。</w:t>
      </w:r>
    </w:p>
    <w:p>
      <w:pPr>
        <w:snapToGrid w:val="0"/>
        <w:spacing w:line="360" w:lineRule="auto"/>
        <w:rPr>
          <w:rFonts w:hint="eastAsia" w:ascii="宋体" w:hAnsi="宋体"/>
          <w:lang w:eastAsia="zh-CN"/>
        </w:rPr>
      </w:pPr>
      <w:r>
        <w:rPr>
          <w:rFonts w:hint="eastAsia" w:ascii="宋体" w:hAnsi="宋体"/>
          <w:lang w:val="en-US" w:eastAsia="zh-CN"/>
        </w:rPr>
        <w:t>分户计量</w:t>
      </w:r>
      <w:r>
        <w:rPr>
          <w:rFonts w:hint="eastAsia" w:ascii="宋体" w:hAnsi="宋体"/>
        </w:rPr>
        <w:t>系统接入</w:t>
      </w:r>
      <w:r>
        <w:rPr>
          <w:rFonts w:hint="eastAsia" w:ascii="宋体" w:hAnsi="宋体"/>
          <w:lang w:val="en-US" w:eastAsia="zh-CN"/>
        </w:rPr>
        <w:t>调控中心</w:t>
      </w:r>
      <w:r>
        <w:rPr>
          <w:rFonts w:hint="eastAsia" w:ascii="宋体" w:hAnsi="宋体"/>
        </w:rPr>
        <w:t>心，</w:t>
      </w:r>
      <w:r>
        <w:rPr>
          <w:rFonts w:hint="eastAsia" w:ascii="宋体" w:hAnsi="宋体"/>
          <w:lang w:val="en-US" w:eastAsia="zh-CN"/>
        </w:rPr>
        <w:t>投标单位</w:t>
      </w:r>
      <w:r>
        <w:rPr>
          <w:rFonts w:hint="eastAsia" w:ascii="宋体" w:hAnsi="宋体"/>
        </w:rPr>
        <w:t>负责</w:t>
      </w:r>
      <w:r>
        <w:rPr>
          <w:rFonts w:hint="eastAsia" w:ascii="宋体" w:hAnsi="宋体"/>
          <w:lang w:val="en-US" w:eastAsia="zh-CN"/>
        </w:rPr>
        <w:t>分户计量系统</w:t>
      </w:r>
      <w:r>
        <w:rPr>
          <w:rFonts w:hint="eastAsia" w:ascii="宋体" w:hAnsi="宋体"/>
        </w:rPr>
        <w:t>与</w:t>
      </w:r>
      <w:r>
        <w:rPr>
          <w:rFonts w:hint="eastAsia" w:ascii="宋体" w:hAnsi="宋体"/>
          <w:lang w:val="en-US" w:eastAsia="zh-CN"/>
        </w:rPr>
        <w:t>调控</w:t>
      </w:r>
      <w:r>
        <w:rPr>
          <w:rFonts w:ascii="宋体" w:hAnsi="宋体"/>
        </w:rPr>
        <w:t>中心对接调试</w:t>
      </w:r>
      <w:r>
        <w:rPr>
          <w:rFonts w:hint="eastAsia" w:ascii="宋体" w:hAnsi="宋体"/>
          <w:lang w:eastAsia="zh-CN"/>
        </w:rPr>
        <w:t>。</w:t>
      </w:r>
    </w:p>
    <w:p>
      <w:pPr>
        <w:snapToGrid w:val="0"/>
        <w:spacing w:line="360" w:lineRule="auto"/>
        <w:rPr>
          <w:rFonts w:ascii="宋体" w:hAnsi="宋体"/>
        </w:rPr>
      </w:pPr>
      <w:r>
        <w:rPr>
          <w:rFonts w:ascii="宋体" w:hAnsi="宋体"/>
        </w:rPr>
        <w:t>1.1</w:t>
      </w:r>
      <w:r>
        <w:rPr>
          <w:rFonts w:hint="eastAsia" w:ascii="宋体" w:hAnsi="宋体"/>
          <w:lang w:val="en-US" w:eastAsia="zh-CN"/>
        </w:rPr>
        <w:t>2</w:t>
      </w:r>
      <w:r>
        <w:rPr>
          <w:rFonts w:ascii="宋体" w:hAnsi="宋体"/>
        </w:rPr>
        <w:t xml:space="preserve"> 依据标准。</w:t>
      </w:r>
    </w:p>
    <w:p>
      <w:pPr>
        <w:snapToGrid w:val="0"/>
        <w:spacing w:line="360" w:lineRule="auto"/>
        <w:rPr>
          <w:rFonts w:ascii="宋体" w:hAnsi="宋体"/>
        </w:rPr>
      </w:pPr>
      <w:r>
        <w:rPr>
          <w:rFonts w:ascii="宋体" w:hAnsi="宋体"/>
        </w:rPr>
        <w:t xml:space="preserve">所供设备和材料的设计、制造、检查、试验等应满足下列规范和标准，但不限于此：            </w:t>
      </w:r>
    </w:p>
    <w:p>
      <w:pPr>
        <w:snapToGrid w:val="0"/>
        <w:spacing w:line="360" w:lineRule="auto"/>
        <w:rPr>
          <w:rFonts w:ascii="宋体" w:hAnsi="宋体"/>
        </w:rPr>
      </w:pPr>
      <w:r>
        <w:rPr>
          <w:rFonts w:ascii="宋体" w:hAnsi="宋体"/>
        </w:rPr>
        <w:t xml:space="preserve">《机电产品包装通用技术条件》GB/T 13384  </w:t>
      </w:r>
    </w:p>
    <w:p>
      <w:pPr>
        <w:spacing w:line="360" w:lineRule="auto"/>
        <w:rPr>
          <w:rFonts w:ascii="宋体" w:hAnsi="宋体"/>
        </w:rPr>
      </w:pPr>
      <w:r>
        <w:rPr>
          <w:rFonts w:ascii="宋体" w:hAnsi="宋体"/>
        </w:rPr>
        <w:t>《调速电气传动系统  第二部分一般要求  低压交流变频电气传动系统定值的规定》GB/T12668.2</w:t>
      </w:r>
    </w:p>
    <w:p>
      <w:pPr>
        <w:spacing w:line="360" w:lineRule="auto"/>
        <w:rPr>
          <w:rFonts w:ascii="宋体" w:hAnsi="宋体"/>
        </w:rPr>
      </w:pPr>
      <w:r>
        <w:rPr>
          <w:rFonts w:ascii="宋体" w:hAnsi="宋体"/>
        </w:rPr>
        <w:t>《低压电器外壳防护等级》GB/T 4942.2</w:t>
      </w:r>
    </w:p>
    <w:p>
      <w:pPr>
        <w:spacing w:line="360" w:lineRule="auto"/>
        <w:rPr>
          <w:rFonts w:ascii="宋体" w:hAnsi="宋体"/>
        </w:rPr>
      </w:pPr>
      <w:r>
        <w:rPr>
          <w:rFonts w:ascii="宋体" w:hAnsi="宋体"/>
        </w:rPr>
        <w:t xml:space="preserve">《低压配电设计规范》GB/T 50054       </w:t>
      </w:r>
    </w:p>
    <w:p>
      <w:pPr>
        <w:spacing w:line="360" w:lineRule="auto"/>
        <w:rPr>
          <w:rFonts w:ascii="宋体" w:hAnsi="宋体"/>
        </w:rPr>
      </w:pPr>
      <w:r>
        <w:rPr>
          <w:rFonts w:ascii="宋体" w:hAnsi="宋体"/>
        </w:rPr>
        <w:t>《热量表》CJ 128</w:t>
      </w:r>
    </w:p>
    <w:p>
      <w:pPr>
        <w:spacing w:line="360" w:lineRule="auto"/>
        <w:rPr>
          <w:rFonts w:ascii="宋体" w:hAnsi="宋体"/>
        </w:rPr>
      </w:pPr>
      <w:r>
        <w:rPr>
          <w:rFonts w:ascii="宋体" w:hAnsi="宋体"/>
        </w:rPr>
        <w:t>国际标准组织ISO</w:t>
      </w:r>
    </w:p>
    <w:p>
      <w:pPr>
        <w:spacing w:line="360" w:lineRule="auto"/>
        <w:rPr>
          <w:rFonts w:ascii="宋体" w:hAnsi="宋体"/>
        </w:rPr>
      </w:pPr>
      <w:r>
        <w:rPr>
          <w:rFonts w:ascii="宋体" w:hAnsi="宋体"/>
        </w:rPr>
        <w:t>日本工业标准JIS</w:t>
      </w:r>
    </w:p>
    <w:p>
      <w:pPr>
        <w:spacing w:line="360" w:lineRule="auto"/>
        <w:rPr>
          <w:rFonts w:ascii="宋体" w:hAnsi="宋体"/>
        </w:rPr>
      </w:pPr>
      <w:r>
        <w:rPr>
          <w:rFonts w:ascii="宋体" w:hAnsi="宋体"/>
        </w:rPr>
        <w:t>美国机械工程师协会ASME</w:t>
      </w:r>
    </w:p>
    <w:p>
      <w:pPr>
        <w:spacing w:line="360" w:lineRule="auto"/>
        <w:rPr>
          <w:rFonts w:ascii="宋体" w:hAnsi="宋体"/>
        </w:rPr>
      </w:pPr>
      <w:r>
        <w:rPr>
          <w:rFonts w:ascii="宋体" w:hAnsi="宋体"/>
        </w:rPr>
        <w:t>国际电气技术委员会IEC</w:t>
      </w:r>
    </w:p>
    <w:p>
      <w:pPr>
        <w:spacing w:line="360" w:lineRule="auto"/>
        <w:rPr>
          <w:rFonts w:ascii="宋体" w:hAnsi="宋体"/>
        </w:rPr>
      </w:pPr>
      <w:r>
        <w:rPr>
          <w:rFonts w:ascii="宋体" w:hAnsi="宋体"/>
        </w:rPr>
        <w:t>美国电气和电子工程协会IEEE</w:t>
      </w:r>
    </w:p>
    <w:p>
      <w:pPr>
        <w:spacing w:line="360" w:lineRule="auto"/>
        <w:rPr>
          <w:rFonts w:ascii="宋体" w:hAnsi="宋体"/>
        </w:rPr>
      </w:pPr>
      <w:r>
        <w:rPr>
          <w:rFonts w:ascii="宋体" w:hAnsi="宋体"/>
        </w:rPr>
        <w:t>美国仪器、仪表协会ISA</w:t>
      </w:r>
    </w:p>
    <w:p>
      <w:pPr>
        <w:spacing w:line="360" w:lineRule="auto"/>
        <w:rPr>
          <w:rFonts w:ascii="宋体" w:hAnsi="宋体"/>
        </w:rPr>
      </w:pPr>
      <w:r>
        <w:rPr>
          <w:rFonts w:ascii="宋体" w:hAnsi="宋体"/>
        </w:rPr>
        <w:t>《自动化仪表工程施工质量验收规范》GB 50131-2007</w:t>
      </w:r>
    </w:p>
    <w:p>
      <w:pPr>
        <w:spacing w:line="360" w:lineRule="auto"/>
        <w:rPr>
          <w:rFonts w:ascii="宋体" w:hAnsi="宋体"/>
        </w:rPr>
      </w:pPr>
      <w:r>
        <w:rPr>
          <w:rFonts w:ascii="宋体" w:hAnsi="宋体"/>
        </w:rPr>
        <w:t xml:space="preserve">《自动化仪表工程施工及验收规范》GB 50093-2002  </w:t>
      </w:r>
    </w:p>
    <w:p>
      <w:pPr>
        <w:spacing w:line="360" w:lineRule="auto"/>
        <w:rPr>
          <w:rFonts w:ascii="宋体" w:hAnsi="宋体"/>
        </w:rPr>
      </w:pPr>
      <w:r>
        <w:rPr>
          <w:rFonts w:ascii="宋体" w:hAnsi="宋体"/>
        </w:rPr>
        <w:t>《电站仪表和控制设备接地导则》 ANSI/IEEE</w:t>
      </w:r>
      <w:r>
        <w:rPr>
          <w:rFonts w:ascii="宋体" w:hAnsi="宋体"/>
        </w:rPr>
        <w:tab/>
      </w:r>
      <w:r>
        <w:rPr>
          <w:rFonts w:ascii="宋体" w:hAnsi="宋体"/>
        </w:rPr>
        <w:tab/>
      </w:r>
      <w:r>
        <w:rPr>
          <w:rFonts w:ascii="宋体" w:hAnsi="宋体"/>
        </w:rPr>
        <w:t>1050</w:t>
      </w:r>
      <w:r>
        <w:rPr>
          <w:rFonts w:ascii="宋体" w:hAnsi="宋体"/>
        </w:rPr>
        <w:tab/>
      </w:r>
    </w:p>
    <w:p>
      <w:pPr>
        <w:spacing w:line="360" w:lineRule="auto"/>
        <w:rPr>
          <w:rFonts w:ascii="宋体" w:hAnsi="宋体"/>
        </w:rPr>
      </w:pPr>
      <w:r>
        <w:rPr>
          <w:rFonts w:ascii="宋体" w:hAnsi="宋体"/>
        </w:rPr>
        <w:t>《可编程仪表的数字接口》ANSI/IEEE</w:t>
      </w:r>
      <w:r>
        <w:rPr>
          <w:rFonts w:ascii="宋体" w:hAnsi="宋体"/>
        </w:rPr>
        <w:tab/>
      </w:r>
      <w:r>
        <w:rPr>
          <w:rFonts w:ascii="宋体" w:hAnsi="宋体"/>
        </w:rPr>
        <w:tab/>
      </w:r>
      <w:r>
        <w:rPr>
          <w:rFonts w:ascii="宋体" w:hAnsi="宋体"/>
        </w:rPr>
        <w:t>488.1</w:t>
      </w:r>
    </w:p>
    <w:p>
      <w:pPr>
        <w:spacing w:line="360" w:lineRule="auto"/>
        <w:rPr>
          <w:rFonts w:ascii="宋体" w:hAnsi="宋体"/>
        </w:rPr>
      </w:pPr>
      <w:r>
        <w:rPr>
          <w:rFonts w:ascii="宋体" w:hAnsi="宋体"/>
        </w:rPr>
        <w:t>《数字处理计算机硬件测试》ISA    RP55.1</w:t>
      </w:r>
      <w:r>
        <w:rPr>
          <w:rFonts w:ascii="宋体" w:hAnsi="宋体"/>
        </w:rPr>
        <w:tab/>
      </w:r>
    </w:p>
    <w:p>
      <w:pPr>
        <w:spacing w:line="360" w:lineRule="auto"/>
        <w:rPr>
          <w:rFonts w:ascii="宋体" w:hAnsi="宋体"/>
        </w:rPr>
      </w:pPr>
      <w:r>
        <w:rPr>
          <w:rFonts w:ascii="宋体" w:hAnsi="宋体"/>
        </w:rPr>
        <w:t>《工业过程电子仪表模拟量信号的兼容性》ANSI/ISA S50.1</w:t>
      </w:r>
      <w:r>
        <w:rPr>
          <w:rFonts w:ascii="宋体" w:hAnsi="宋体"/>
        </w:rPr>
        <w:tab/>
      </w:r>
      <w:r>
        <w:rPr>
          <w:rFonts w:ascii="宋体" w:hAnsi="宋体"/>
        </w:rPr>
        <w:tab/>
      </w:r>
    </w:p>
    <w:p>
      <w:pPr>
        <w:spacing w:line="360" w:lineRule="auto"/>
        <w:rPr>
          <w:rFonts w:ascii="宋体" w:hAnsi="宋体"/>
        </w:rPr>
      </w:pPr>
      <w:r>
        <w:rPr>
          <w:rFonts w:ascii="宋体" w:hAnsi="宋体"/>
        </w:rPr>
        <w:t>《电气和电子设备、测量和控制机相关设备的一般要求》ANSI/ISA S82.01</w:t>
      </w:r>
      <w:r>
        <w:rPr>
          <w:rFonts w:ascii="宋体" w:hAnsi="宋体"/>
        </w:rPr>
        <w:tab/>
      </w:r>
    </w:p>
    <w:p>
      <w:pPr>
        <w:spacing w:line="360" w:lineRule="auto"/>
        <w:rPr>
          <w:rFonts w:ascii="宋体" w:hAnsi="宋体"/>
        </w:rPr>
      </w:pPr>
      <w:r>
        <w:rPr>
          <w:rFonts w:ascii="宋体" w:hAnsi="宋体"/>
        </w:rPr>
        <w:t>《仪表和控制系统的功能图表示法》SAMA</w:t>
      </w:r>
      <w:r>
        <w:rPr>
          <w:rFonts w:ascii="宋体" w:hAnsi="宋体"/>
        </w:rPr>
        <w:tab/>
      </w:r>
      <w:r>
        <w:rPr>
          <w:rFonts w:ascii="宋体" w:hAnsi="宋体"/>
        </w:rPr>
        <w:t>PMC</w:t>
      </w:r>
      <w:r>
        <w:rPr>
          <w:rFonts w:ascii="宋体" w:hAnsi="宋体"/>
        </w:rPr>
        <w:tab/>
      </w:r>
      <w:r>
        <w:rPr>
          <w:rFonts w:ascii="宋体" w:hAnsi="宋体"/>
        </w:rPr>
        <w:t>22.1</w:t>
      </w:r>
      <w:r>
        <w:rPr>
          <w:rFonts w:ascii="宋体" w:hAnsi="宋体"/>
        </w:rPr>
        <w:tab/>
      </w:r>
    </w:p>
    <w:p>
      <w:pPr>
        <w:spacing w:line="360" w:lineRule="auto"/>
        <w:rPr>
          <w:rFonts w:ascii="宋体" w:hAnsi="宋体"/>
        </w:rPr>
      </w:pPr>
      <w:r>
        <w:rPr>
          <w:rFonts w:ascii="宋体" w:hAnsi="宋体"/>
        </w:rPr>
        <w:t>《过程测量和控制仪表试验和评估的一般方法》SAMA</w:t>
      </w:r>
      <w:r>
        <w:rPr>
          <w:rFonts w:ascii="宋体" w:hAnsi="宋体"/>
        </w:rPr>
        <w:tab/>
      </w:r>
      <w:r>
        <w:rPr>
          <w:rFonts w:ascii="宋体" w:hAnsi="宋体"/>
        </w:rPr>
        <w:t>PMC</w:t>
      </w:r>
      <w:r>
        <w:rPr>
          <w:rFonts w:ascii="宋体" w:hAnsi="宋体"/>
        </w:rPr>
        <w:tab/>
      </w:r>
      <w:r>
        <w:rPr>
          <w:rFonts w:ascii="宋体" w:hAnsi="宋体"/>
        </w:rPr>
        <w:t>31.1</w:t>
      </w:r>
      <w:r>
        <w:rPr>
          <w:rFonts w:ascii="宋体" w:hAnsi="宋体"/>
        </w:rPr>
        <w:tab/>
      </w:r>
    </w:p>
    <w:p>
      <w:pPr>
        <w:spacing w:line="360" w:lineRule="auto"/>
        <w:rPr>
          <w:rFonts w:ascii="宋体" w:hAnsi="宋体"/>
        </w:rPr>
      </w:pPr>
      <w:r>
        <w:rPr>
          <w:rFonts w:ascii="宋体" w:hAnsi="宋体"/>
        </w:rPr>
        <w:t>《过程控制仪表的电磁感应特性》SAMA</w:t>
      </w:r>
      <w:r>
        <w:rPr>
          <w:rFonts w:ascii="宋体" w:hAnsi="宋体"/>
        </w:rPr>
        <w:tab/>
      </w:r>
      <w:r>
        <w:rPr>
          <w:rFonts w:ascii="宋体" w:hAnsi="宋体"/>
        </w:rPr>
        <w:t>PMC</w:t>
      </w:r>
      <w:r>
        <w:rPr>
          <w:rFonts w:ascii="宋体" w:hAnsi="宋体"/>
        </w:rPr>
        <w:tab/>
      </w:r>
      <w:r>
        <w:rPr>
          <w:rFonts w:ascii="宋体" w:hAnsi="宋体"/>
        </w:rPr>
        <w:t>33.1</w:t>
      </w:r>
      <w:r>
        <w:rPr>
          <w:rFonts w:ascii="宋体" w:hAnsi="宋体"/>
        </w:rPr>
        <w:tab/>
      </w:r>
    </w:p>
    <w:p>
      <w:pPr>
        <w:spacing w:line="360" w:lineRule="auto"/>
        <w:rPr>
          <w:rFonts w:ascii="宋体" w:hAnsi="宋体"/>
        </w:rPr>
      </w:pPr>
      <w:r>
        <w:rPr>
          <w:rFonts w:ascii="宋体" w:hAnsi="宋体"/>
        </w:rPr>
        <w:t>《控制系统功能图》IEC 60848</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p>
      <w:pPr>
        <w:spacing w:line="360" w:lineRule="auto"/>
        <w:rPr>
          <w:rFonts w:ascii="宋体" w:hAnsi="宋体"/>
        </w:rPr>
      </w:pPr>
      <w:r>
        <w:rPr>
          <w:rFonts w:ascii="宋体" w:hAnsi="宋体"/>
        </w:rPr>
        <w:t>《信息技术设备的安全要求》 IEC 60950</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p>
      <w:pPr>
        <w:spacing w:line="360" w:lineRule="auto"/>
        <w:rPr>
          <w:rFonts w:ascii="宋体" w:hAnsi="宋体"/>
        </w:rPr>
      </w:pPr>
      <w:r>
        <w:rPr>
          <w:rFonts w:ascii="宋体" w:hAnsi="宋体"/>
        </w:rPr>
        <w:t>《工业过程测量和控制设备的电磁兼容性：试验和测量技术》IEC 61000-4-1992（GB/T17626-1998）</w:t>
      </w:r>
    </w:p>
    <w:p>
      <w:pPr>
        <w:spacing w:line="360" w:lineRule="auto"/>
        <w:rPr>
          <w:rFonts w:ascii="宋体" w:hAnsi="宋体"/>
        </w:rPr>
      </w:pPr>
      <w:r>
        <w:rPr>
          <w:rFonts w:ascii="宋体" w:hAnsi="宋体"/>
        </w:rPr>
        <w:t>《可编程控制器编程语言》IEC 61131（GB/T15969-95）</w:t>
      </w:r>
    </w:p>
    <w:p>
      <w:pPr>
        <w:spacing w:line="360" w:lineRule="auto"/>
        <w:rPr>
          <w:rFonts w:ascii="宋体" w:hAnsi="宋体"/>
        </w:rPr>
      </w:pPr>
      <w:r>
        <w:rPr>
          <w:rFonts w:ascii="宋体" w:hAnsi="宋体"/>
        </w:rPr>
        <w:t>《电气/电子/可编程电子设备安全相关系统的功能安全》IEC</w:t>
      </w:r>
      <w:r>
        <w:rPr>
          <w:rFonts w:ascii="宋体" w:hAnsi="宋体"/>
        </w:rPr>
        <w:tab/>
      </w:r>
      <w:r>
        <w:rPr>
          <w:rFonts w:ascii="宋体" w:hAnsi="宋体"/>
        </w:rPr>
        <w:t>61508</w:t>
      </w:r>
    </w:p>
    <w:p>
      <w:pPr>
        <w:spacing w:line="360" w:lineRule="auto"/>
        <w:rPr>
          <w:rFonts w:ascii="宋体" w:hAnsi="宋体"/>
        </w:rPr>
      </w:pPr>
      <w:r>
        <w:rPr>
          <w:rFonts w:ascii="宋体" w:hAnsi="宋体"/>
        </w:rPr>
        <w:t xml:space="preserve">《视频安防监控系统工程设计规范》GB 50395-2007  </w:t>
      </w:r>
    </w:p>
    <w:p>
      <w:pPr>
        <w:spacing w:line="360" w:lineRule="auto"/>
        <w:rPr>
          <w:rFonts w:ascii="宋体" w:hAnsi="宋体"/>
          <w:szCs w:val="21"/>
        </w:rPr>
      </w:pPr>
      <w:r>
        <w:rPr>
          <w:rFonts w:ascii="宋体" w:hAnsi="宋体"/>
          <w:szCs w:val="21"/>
        </w:rPr>
        <w:t>参照有关标准和规范拟定的合同设备，投标方及包括由其他厂家购买来的设备和附件，都应符合该标准和规范的最新版本或其修订本。 投标人提供的产品应满足本标书规定的技术参数和要求。</w:t>
      </w:r>
    </w:p>
    <w:p>
      <w:pPr>
        <w:snapToGrid w:val="0"/>
        <w:spacing w:line="360" w:lineRule="auto"/>
        <w:rPr>
          <w:rFonts w:ascii="宋体" w:hAnsi="宋体"/>
          <w:b/>
          <w:color w:val="000000"/>
          <w:szCs w:val="21"/>
        </w:rPr>
      </w:pPr>
      <w:r>
        <w:rPr>
          <w:rFonts w:ascii="宋体" w:hAnsi="宋体"/>
          <w:b/>
          <w:color w:val="000000"/>
          <w:szCs w:val="21"/>
        </w:rPr>
        <w:t>二、技术要求</w:t>
      </w:r>
    </w:p>
    <w:p>
      <w:pPr>
        <w:snapToGrid w:val="0"/>
        <w:spacing w:line="360" w:lineRule="auto"/>
        <w:rPr>
          <w:rFonts w:ascii="宋体" w:hAnsi="宋体"/>
          <w:color w:val="000000"/>
          <w:szCs w:val="21"/>
        </w:rPr>
      </w:pPr>
      <w:r>
        <w:rPr>
          <w:rFonts w:ascii="宋体" w:hAnsi="宋体"/>
          <w:color w:val="000000"/>
          <w:szCs w:val="21"/>
        </w:rPr>
        <w:t>设备使用环境条件：</w:t>
      </w:r>
    </w:p>
    <w:p>
      <w:pPr>
        <w:snapToGrid w:val="0"/>
        <w:spacing w:line="360" w:lineRule="auto"/>
        <w:rPr>
          <w:rFonts w:ascii="宋体" w:hAnsi="宋体"/>
          <w:color w:val="000000"/>
          <w:szCs w:val="21"/>
        </w:rPr>
      </w:pPr>
      <w:r>
        <w:rPr>
          <w:rFonts w:ascii="宋体" w:hAnsi="宋体"/>
          <w:color w:val="000000"/>
          <w:szCs w:val="21"/>
        </w:rPr>
        <w:t>（1）设备安装位置：热力站室内安装</w:t>
      </w:r>
    </w:p>
    <w:p>
      <w:pPr>
        <w:snapToGrid w:val="0"/>
        <w:spacing w:line="360" w:lineRule="auto"/>
        <w:rPr>
          <w:rFonts w:ascii="宋体" w:hAnsi="宋体"/>
          <w:color w:val="000000"/>
          <w:szCs w:val="21"/>
        </w:rPr>
      </w:pPr>
      <w:r>
        <w:rPr>
          <w:rFonts w:ascii="宋体" w:hAnsi="宋体"/>
          <w:color w:val="000000"/>
          <w:szCs w:val="21"/>
        </w:rPr>
        <w:t>（2）地震烈度：</w:t>
      </w:r>
      <w:bookmarkStart w:id="148" w:name="_Toc27815349"/>
      <w:bookmarkEnd w:id="148"/>
      <w:r>
        <w:rPr>
          <w:rFonts w:ascii="宋体" w:hAnsi="宋体"/>
          <w:color w:val="000000"/>
          <w:szCs w:val="21"/>
        </w:rPr>
        <w:tab/>
      </w:r>
      <w:r>
        <w:rPr>
          <w:rFonts w:ascii="宋体" w:hAnsi="宋体"/>
          <w:color w:val="000000"/>
          <w:szCs w:val="21"/>
        </w:rPr>
        <w:t xml:space="preserve"> </w:t>
      </w:r>
      <w:r>
        <w:rPr>
          <w:rFonts w:hint="eastAsia" w:ascii="宋体" w:hAnsi="宋体"/>
          <w:color w:val="000000"/>
          <w:szCs w:val="21"/>
          <w:lang w:val="en-US" w:eastAsia="zh-CN"/>
        </w:rPr>
        <w:t xml:space="preserve">      </w:t>
      </w:r>
      <w:r>
        <w:rPr>
          <w:rFonts w:ascii="宋体" w:hAnsi="宋体"/>
          <w:color w:val="000000"/>
          <w:szCs w:val="21"/>
        </w:rPr>
        <w:t xml:space="preserve"> 7度</w:t>
      </w:r>
    </w:p>
    <w:p>
      <w:pPr>
        <w:snapToGrid w:val="0"/>
        <w:spacing w:line="360" w:lineRule="auto"/>
        <w:rPr>
          <w:rFonts w:ascii="宋体" w:hAnsi="宋体"/>
          <w:color w:val="000000"/>
          <w:szCs w:val="21"/>
        </w:rPr>
      </w:pPr>
      <w:r>
        <w:rPr>
          <w:rFonts w:ascii="宋体" w:hAnsi="宋体"/>
          <w:color w:val="000000"/>
          <w:szCs w:val="21"/>
        </w:rPr>
        <w:t>（3）最高气温：           45</w:t>
      </w:r>
      <w:r>
        <w:rPr>
          <w:rFonts w:ascii="Symbol" w:hAnsi="Symbol" w:eastAsia="Symbol" w:cs="Symbol"/>
          <w:color w:val="000000"/>
          <w:szCs w:val="21"/>
        </w:rPr>
        <w:t></w:t>
      </w:r>
      <w:r>
        <w:rPr>
          <w:rFonts w:ascii="宋体" w:hAnsi="宋体"/>
          <w:color w:val="000000"/>
          <w:szCs w:val="21"/>
        </w:rPr>
        <w:t>C</w:t>
      </w:r>
    </w:p>
    <w:p>
      <w:pPr>
        <w:snapToGrid w:val="0"/>
        <w:spacing w:line="360" w:lineRule="auto"/>
        <w:rPr>
          <w:rFonts w:ascii="宋体" w:hAnsi="宋体"/>
          <w:color w:val="000000"/>
          <w:szCs w:val="21"/>
        </w:rPr>
      </w:pPr>
      <w:r>
        <w:rPr>
          <w:rFonts w:ascii="宋体" w:hAnsi="宋体"/>
          <w:color w:val="000000"/>
          <w:szCs w:val="21"/>
        </w:rPr>
        <w:t>（4）最低气温：           5</w:t>
      </w:r>
      <w:r>
        <w:rPr>
          <w:rFonts w:ascii="Symbol" w:hAnsi="Symbol" w:eastAsia="Symbol" w:cs="Symbol"/>
          <w:color w:val="000000"/>
          <w:szCs w:val="21"/>
        </w:rPr>
        <w:t></w:t>
      </w:r>
      <w:r>
        <w:rPr>
          <w:rFonts w:ascii="宋体" w:hAnsi="宋体"/>
          <w:color w:val="000000"/>
          <w:szCs w:val="21"/>
        </w:rPr>
        <w:t>C</w:t>
      </w:r>
    </w:p>
    <w:p>
      <w:pPr>
        <w:snapToGrid w:val="0"/>
        <w:spacing w:line="360" w:lineRule="auto"/>
        <w:rPr>
          <w:rFonts w:ascii="宋体" w:hAnsi="宋体"/>
          <w:color w:val="000000"/>
          <w:szCs w:val="21"/>
        </w:rPr>
      </w:pPr>
      <w:r>
        <w:rPr>
          <w:rFonts w:ascii="宋体" w:hAnsi="宋体"/>
          <w:color w:val="000000"/>
          <w:szCs w:val="21"/>
        </w:rPr>
        <w:t>（5）最大相对湿度：       90%</w:t>
      </w:r>
    </w:p>
    <w:p>
      <w:pPr>
        <w:snapToGrid w:val="0"/>
        <w:spacing w:line="360" w:lineRule="auto"/>
        <w:rPr>
          <w:rFonts w:ascii="宋体" w:hAnsi="宋体"/>
          <w:color w:val="000000"/>
          <w:szCs w:val="21"/>
        </w:rPr>
      </w:pPr>
      <w:r>
        <w:rPr>
          <w:rFonts w:ascii="宋体" w:hAnsi="宋体"/>
          <w:color w:val="000000"/>
          <w:szCs w:val="21"/>
        </w:rPr>
        <w:t>（6）最小相对湿度：       10%</w:t>
      </w:r>
    </w:p>
    <w:p>
      <w:pPr>
        <w:snapToGrid w:val="0"/>
        <w:spacing w:line="360" w:lineRule="auto"/>
        <w:rPr>
          <w:rFonts w:ascii="宋体" w:hAnsi="宋体" w:eastAsia="宋体"/>
          <w:b/>
          <w:color w:val="000000"/>
          <w:szCs w:val="21"/>
        </w:rPr>
      </w:pPr>
      <w:r>
        <w:rPr>
          <w:rFonts w:hint="eastAsia" w:ascii="宋体" w:hAnsi="宋体" w:eastAsia="宋体"/>
          <w:b/>
          <w:color w:val="000000"/>
          <w:szCs w:val="21"/>
          <w:lang w:val="en-US" w:eastAsia="zh-CN"/>
        </w:rPr>
        <w:t>三、</w:t>
      </w:r>
      <w:r>
        <w:rPr>
          <w:rFonts w:ascii="宋体" w:hAnsi="宋体" w:eastAsia="宋体"/>
          <w:b/>
          <w:color w:val="000000"/>
          <w:szCs w:val="21"/>
        </w:rPr>
        <w:t>技术规范要求</w:t>
      </w:r>
    </w:p>
    <w:p>
      <w:pPr>
        <w:spacing w:line="360" w:lineRule="auto"/>
        <w:rPr>
          <w:rFonts w:ascii="宋体" w:hAnsi="宋体" w:eastAsia="宋体"/>
          <w:szCs w:val="21"/>
        </w:rPr>
      </w:pPr>
      <w:bookmarkStart w:id="149" w:name="_Toc482558248"/>
      <w:bookmarkStart w:id="150" w:name="_Toc454279241"/>
      <w:r>
        <w:rPr>
          <w:rFonts w:hint="eastAsia" w:ascii="宋体" w:hAnsi="宋体" w:eastAsia="宋体"/>
          <w:szCs w:val="21"/>
          <w:lang w:val="en-US" w:eastAsia="zh-CN"/>
        </w:rPr>
        <w:t>3.1分户热计量技术要求</w:t>
      </w:r>
    </w:p>
    <w:p>
      <w:pPr>
        <w:snapToGrid w:val="0"/>
        <w:spacing w:line="360" w:lineRule="auto"/>
        <w:rPr>
          <w:rFonts w:ascii="宋体" w:hAnsi="宋体" w:eastAsia="宋体"/>
          <w:color w:val="000000"/>
          <w:szCs w:val="21"/>
        </w:rPr>
      </w:pPr>
      <w:r>
        <w:rPr>
          <w:rFonts w:hint="eastAsia" w:ascii="宋体" w:hAnsi="宋体" w:eastAsia="宋体"/>
          <w:color w:val="000000"/>
          <w:szCs w:val="21"/>
        </w:rPr>
        <w:t>通过</w:t>
      </w:r>
      <w:r>
        <w:rPr>
          <w:rFonts w:hint="eastAsia" w:ascii="宋体" w:hAnsi="宋体" w:eastAsia="宋体"/>
          <w:color w:val="000000"/>
          <w:szCs w:val="21"/>
          <w:lang w:val="en-US" w:eastAsia="zh-CN"/>
        </w:rPr>
        <w:t>安装分户热计量系统，能够实现</w:t>
      </w:r>
      <w:r>
        <w:rPr>
          <w:rFonts w:hint="eastAsia" w:ascii="宋体" w:hAnsi="宋体" w:eastAsia="宋体"/>
          <w:color w:val="000000"/>
          <w:szCs w:val="21"/>
        </w:rPr>
        <w:t>供热计量、二网智能平衡调节、热用户室温远程监测、消除水力失调、消除冷热不均，达到供热信息化，提高供热质量，保障热用户采暖需求的目标。</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1）通过二网智能平衡、热用户供回水温度监测、热用户室温采集、智能阀远程控制、数据信息上传，实现对二次网及热用户的“平衡调节、均衡供热、远程收费管理、主动化客户服务”等目标；</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2）通过二网及热用户的数据信息监测，指导热力站优化调控，按需供热、精准供热，在保障供热质量、保证热用户采暖热舒适度要求的前提下，实现供热节能降耗、提高热力公司经济效益。</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3.2功能要求</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3.2.1</w:t>
      </w:r>
      <w:r>
        <w:rPr>
          <w:rFonts w:ascii="宋体" w:hAnsi="宋体" w:eastAsia="宋体"/>
          <w:color w:val="000000"/>
          <w:szCs w:val="21"/>
        </w:rPr>
        <w:t>供热计量</w:t>
      </w:r>
    </w:p>
    <w:p>
      <w:pPr>
        <w:snapToGrid w:val="0"/>
        <w:spacing w:line="360" w:lineRule="auto"/>
        <w:rPr>
          <w:rFonts w:ascii="宋体" w:hAnsi="宋体" w:eastAsia="宋体"/>
          <w:color w:val="000000"/>
          <w:szCs w:val="21"/>
        </w:rPr>
      </w:pPr>
      <w:r>
        <w:rPr>
          <w:rFonts w:hint="eastAsia" w:ascii="宋体" w:hAnsi="宋体" w:eastAsia="宋体"/>
          <w:color w:val="000000"/>
          <w:szCs w:val="21"/>
        </w:rPr>
        <w:t>通过户用热量表实现供回水温度、瞬时流量、瞬时热量、累计流量、累计热量的监测，实现分户热计量</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通过楼栋/单元入口安装热量表，可实现对楼栋/单元的</w:t>
      </w:r>
      <w:r>
        <w:rPr>
          <w:rFonts w:hint="eastAsia" w:ascii="宋体" w:hAnsi="宋体" w:eastAsia="宋体"/>
          <w:color w:val="000000"/>
          <w:szCs w:val="21"/>
        </w:rPr>
        <w:t>供回水温度、瞬时流量、瞬时热量、累计流量、累计热量的监测。</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3.2.2</w:t>
      </w:r>
      <w:r>
        <w:rPr>
          <w:rFonts w:ascii="宋体" w:hAnsi="宋体" w:eastAsia="宋体"/>
          <w:color w:val="000000"/>
          <w:szCs w:val="21"/>
        </w:rPr>
        <w:t>热用户室温采集分析及调节控制</w:t>
      </w:r>
    </w:p>
    <w:p>
      <w:pPr>
        <w:snapToGrid w:val="0"/>
        <w:spacing w:line="360" w:lineRule="auto"/>
        <w:rPr>
          <w:rFonts w:ascii="宋体" w:hAnsi="宋体" w:eastAsia="宋体"/>
          <w:color w:val="000000"/>
          <w:szCs w:val="21"/>
        </w:rPr>
      </w:pPr>
      <w:r>
        <w:rPr>
          <w:rFonts w:hint="eastAsia" w:ascii="宋体" w:hAnsi="宋体" w:eastAsia="宋体"/>
          <w:color w:val="000000"/>
          <w:szCs w:val="21"/>
        </w:rPr>
        <w:t>热用户安装室温采集</w:t>
      </w:r>
      <w:r>
        <w:rPr>
          <w:rFonts w:hint="eastAsia" w:ascii="宋体" w:hAnsi="宋体" w:eastAsia="宋体"/>
          <w:color w:val="000000"/>
          <w:szCs w:val="21"/>
          <w:lang w:val="en-US" w:eastAsia="zh-CN"/>
        </w:rPr>
        <w:t>控制</w:t>
      </w:r>
      <w:r>
        <w:rPr>
          <w:rFonts w:hint="eastAsia" w:ascii="宋体" w:hAnsi="宋体" w:eastAsia="宋体"/>
          <w:color w:val="000000"/>
          <w:szCs w:val="21"/>
        </w:rPr>
        <w:t>装置</w:t>
      </w:r>
      <w:r>
        <w:rPr>
          <w:rFonts w:ascii="宋体" w:hAnsi="宋体" w:eastAsia="宋体"/>
          <w:color w:val="000000"/>
          <w:szCs w:val="21"/>
        </w:rPr>
        <w:t>，对热用户采暖热舒适度进行评价分析、保障供热质量，跟踪热用户采暖需求。指导热力站自动控制系统，实现精准供热、按需供热，不欠供、不超供，通过全网热力站自控控制，节能降耗。</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3.2.3</w:t>
      </w:r>
      <w:r>
        <w:rPr>
          <w:rFonts w:ascii="宋体" w:hAnsi="宋体" w:eastAsia="宋体"/>
          <w:color w:val="000000"/>
          <w:szCs w:val="21"/>
        </w:rPr>
        <w:t>智能阀远程控制、收费管理</w:t>
      </w:r>
    </w:p>
    <w:p>
      <w:pPr>
        <w:snapToGrid w:val="0"/>
        <w:spacing w:line="360" w:lineRule="auto"/>
        <w:rPr>
          <w:rFonts w:ascii="宋体" w:hAnsi="宋体" w:eastAsia="宋体"/>
          <w:color w:val="000000"/>
          <w:szCs w:val="21"/>
        </w:rPr>
      </w:pPr>
      <w:r>
        <w:rPr>
          <w:rFonts w:hint="eastAsia" w:ascii="宋体" w:hAnsi="宋体" w:eastAsia="宋体"/>
          <w:color w:val="000000"/>
          <w:szCs w:val="21"/>
        </w:rPr>
        <w:t>石家庄市供热集团数据中心软件可远程控制智能阀的开启和锁闭，智能阀系统与收费系统联动，智慧供热平台软件与收费软件自动数据交换，实现远程收费管理，建立基于电子支付的远程自动收费管理系统，且软件系统具有在线稽查功能，减少热力公司收费管理人工成本。智能阀锁闭状态下应为零泄漏，杜绝热用户放水和窃热。</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3.2.4</w:t>
      </w:r>
      <w:r>
        <w:rPr>
          <w:rFonts w:ascii="宋体" w:hAnsi="宋体" w:eastAsia="宋体"/>
          <w:color w:val="000000"/>
          <w:szCs w:val="21"/>
        </w:rPr>
        <w:t>智能平衡调节</w:t>
      </w:r>
    </w:p>
    <w:p>
      <w:pPr>
        <w:snapToGrid w:val="0"/>
        <w:spacing w:line="360" w:lineRule="auto"/>
        <w:rPr>
          <w:rFonts w:ascii="宋体" w:hAnsi="宋体" w:eastAsia="宋体"/>
          <w:color w:val="000000"/>
          <w:szCs w:val="21"/>
        </w:rPr>
      </w:pPr>
      <w:r>
        <w:rPr>
          <w:rFonts w:hint="eastAsia" w:ascii="宋体" w:hAnsi="宋体" w:eastAsia="宋体"/>
          <w:color w:val="000000"/>
          <w:szCs w:val="21"/>
        </w:rPr>
        <w:t>在每个热用户回水</w:t>
      </w:r>
      <w:r>
        <w:rPr>
          <w:rFonts w:hint="eastAsia" w:ascii="宋体" w:hAnsi="宋体" w:eastAsia="宋体"/>
          <w:color w:val="000000"/>
          <w:szCs w:val="21"/>
          <w:lang w:val="en-US" w:eastAsia="zh-CN"/>
        </w:rPr>
        <w:t>/楼栋（单元）回水</w:t>
      </w:r>
      <w:r>
        <w:rPr>
          <w:rFonts w:hint="eastAsia" w:ascii="宋体" w:hAnsi="宋体" w:eastAsia="宋体"/>
          <w:color w:val="000000"/>
          <w:szCs w:val="21"/>
        </w:rPr>
        <w:t>安装智能阀，智慧供热平台软件采集热用户供回水温度、进行大数据分析和清洗（异常数据形成工单进行派发维修维护）、建立数据模型。以同类热用户回水温度一致为调控目标，热用户室温趋于收敛，自动实现二次网水力平衡智能调控。阀门智能平衡调节应满足快速平衡的要求以及平衡调节精度的要求，实现可调、可控，均衡供热，消除冷热不均，保障供热质量。</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3.2.5</w:t>
      </w:r>
      <w:r>
        <w:rPr>
          <w:rFonts w:ascii="宋体" w:hAnsi="宋体" w:eastAsia="宋体"/>
          <w:color w:val="000000"/>
          <w:szCs w:val="21"/>
        </w:rPr>
        <w:t>智能阀阻力特性</w:t>
      </w:r>
    </w:p>
    <w:p>
      <w:pPr>
        <w:snapToGrid w:val="0"/>
        <w:spacing w:line="360" w:lineRule="auto"/>
        <w:rPr>
          <w:rFonts w:ascii="宋体" w:hAnsi="宋体" w:eastAsia="宋体"/>
          <w:color w:val="000000"/>
          <w:szCs w:val="21"/>
        </w:rPr>
      </w:pPr>
      <w:r>
        <w:rPr>
          <w:rFonts w:hint="eastAsia" w:ascii="宋体" w:hAnsi="宋体" w:eastAsia="宋体"/>
          <w:color w:val="000000"/>
          <w:szCs w:val="21"/>
        </w:rPr>
        <w:t>应具备全开度时的低阻力特性，开度调节时的高阻力特性，保证安装在近端热用户时，能够通过阀门开度调节，实现热用户流量调控，安装在末端热用户时，不增加热用户阻力，在不增加电耗的情况下，确保达到热用户采暖需求、保障供热效果。</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3.3</w:t>
      </w:r>
      <w:r>
        <w:rPr>
          <w:rFonts w:ascii="宋体" w:hAnsi="宋体" w:eastAsia="宋体"/>
          <w:color w:val="000000"/>
          <w:szCs w:val="21"/>
        </w:rPr>
        <w:t>系统组成</w:t>
      </w:r>
    </w:p>
    <w:p>
      <w:pPr>
        <w:snapToGrid w:val="0"/>
        <w:spacing w:line="360" w:lineRule="auto"/>
        <w:rPr>
          <w:rFonts w:ascii="宋体" w:hAnsi="宋体" w:eastAsia="宋体"/>
          <w:color w:val="000000"/>
          <w:szCs w:val="21"/>
        </w:rPr>
      </w:pPr>
      <w:r>
        <w:rPr>
          <w:rFonts w:hint="eastAsia" w:ascii="宋体" w:hAnsi="宋体" w:eastAsia="宋体"/>
          <w:color w:val="000000"/>
          <w:szCs w:val="21"/>
        </w:rPr>
        <w:t>供热计量智能调控系统由户用热量表、</w:t>
      </w:r>
      <w:r>
        <w:rPr>
          <w:rFonts w:hint="eastAsia" w:ascii="宋体" w:hAnsi="宋体" w:eastAsia="宋体"/>
          <w:color w:val="000000"/>
          <w:szCs w:val="21"/>
          <w:lang w:val="en-US" w:eastAsia="zh-CN"/>
        </w:rPr>
        <w:t>户用</w:t>
      </w:r>
      <w:r>
        <w:rPr>
          <w:rFonts w:hint="eastAsia" w:ascii="宋体" w:hAnsi="宋体" w:eastAsia="宋体"/>
          <w:color w:val="000000"/>
          <w:szCs w:val="21"/>
        </w:rPr>
        <w:t>智能阀、室温采集</w:t>
      </w:r>
      <w:r>
        <w:rPr>
          <w:rFonts w:hint="eastAsia" w:ascii="宋体" w:hAnsi="宋体" w:eastAsia="宋体"/>
          <w:color w:val="000000"/>
          <w:szCs w:val="21"/>
          <w:lang w:val="en-US" w:eastAsia="zh-CN"/>
        </w:rPr>
        <w:t>控制</w:t>
      </w:r>
      <w:r>
        <w:rPr>
          <w:rFonts w:hint="eastAsia" w:ascii="宋体" w:hAnsi="宋体" w:eastAsia="宋体"/>
          <w:color w:val="000000"/>
          <w:szCs w:val="21"/>
        </w:rPr>
        <w:t>装置、</w:t>
      </w:r>
      <w:r>
        <w:rPr>
          <w:rFonts w:hint="eastAsia" w:ascii="宋体" w:hAnsi="宋体" w:eastAsia="宋体"/>
          <w:color w:val="000000"/>
          <w:szCs w:val="21"/>
          <w:lang w:val="en-US" w:eastAsia="zh-CN"/>
        </w:rPr>
        <w:t>热力入口热量表、热力入口调节阀、热力入口温度、压力变送器、</w:t>
      </w:r>
      <w:r>
        <w:rPr>
          <w:rFonts w:hint="eastAsia" w:ascii="宋体" w:hAnsi="宋体" w:eastAsia="宋体"/>
          <w:color w:val="000000"/>
          <w:szCs w:val="21"/>
        </w:rPr>
        <w:t>采集集中器、数据通讯和电源综合布线系统等主要部分组成，应满足下列要求：</w:t>
      </w:r>
    </w:p>
    <w:p>
      <w:pPr>
        <w:snapToGrid w:val="0"/>
        <w:spacing w:line="360" w:lineRule="auto"/>
        <w:rPr>
          <w:rFonts w:ascii="宋体" w:hAnsi="宋体" w:eastAsia="宋体"/>
          <w:color w:val="000000"/>
          <w:szCs w:val="21"/>
        </w:rPr>
      </w:pPr>
      <w:r>
        <w:rPr>
          <w:rFonts w:ascii="宋体" w:hAnsi="宋体" w:eastAsia="宋体"/>
          <w:color w:val="000000"/>
          <w:szCs w:val="21"/>
        </w:rPr>
        <w:t>1、可用于共用立管的分户独立室内供热系统；</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2</w:t>
      </w:r>
      <w:r>
        <w:rPr>
          <w:rFonts w:ascii="宋体" w:hAnsi="宋体" w:eastAsia="宋体"/>
          <w:color w:val="000000"/>
          <w:szCs w:val="21"/>
        </w:rPr>
        <w:t>、室温采集器与智能阀之间的通讯方式应为无线通信，并通过采集集中器上传室温数据；</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w:t>
      </w:r>
      <w:r>
        <w:rPr>
          <w:rFonts w:ascii="宋体" w:hAnsi="宋体" w:eastAsia="宋体"/>
          <w:color w:val="000000"/>
          <w:szCs w:val="21"/>
        </w:rPr>
        <w:t>、智能阀应有可靠的电源，宜采用集中供电方式，且供电电压应为不高于24V的安全电压；</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4</w:t>
      </w:r>
      <w:r>
        <w:rPr>
          <w:rFonts w:ascii="宋体" w:hAnsi="宋体" w:eastAsia="宋体"/>
          <w:color w:val="000000"/>
          <w:szCs w:val="21"/>
        </w:rPr>
        <w:t>、户用热量表采用电池供电，与智能阀均采用M-bus通讯方式，通过总线方式连接至采集集中器，数据通讯方式应符合《户用计量仪表数据传输技术条件》CJ/T188的要求；</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5</w:t>
      </w:r>
      <w:r>
        <w:rPr>
          <w:rFonts w:ascii="宋体" w:hAnsi="宋体" w:eastAsia="宋体"/>
          <w:color w:val="000000"/>
          <w:szCs w:val="21"/>
        </w:rPr>
        <w:t>、采集集中器与监控中心数据通讯传输应选用合适传输方式，应保证数据传输可靠性。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3.4主要设备性能要求</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户用计量装置集成供货（具体详见图纸）、热力入口计量装置集成供货（具体详见图纸）。</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3.4.1室温采集控制装置</w:t>
      </w:r>
    </w:p>
    <w:p>
      <w:pPr>
        <w:snapToGrid w:val="0"/>
        <w:spacing w:line="360" w:lineRule="auto"/>
        <w:rPr>
          <w:rFonts w:ascii="宋体" w:hAnsi="宋体" w:eastAsia="宋体"/>
          <w:color w:val="000000"/>
          <w:szCs w:val="21"/>
        </w:rPr>
      </w:pPr>
      <w:r>
        <w:rPr>
          <w:rFonts w:hint="eastAsia" w:ascii="宋体" w:hAnsi="宋体" w:eastAsia="宋体"/>
          <w:color w:val="000000"/>
          <w:szCs w:val="21"/>
          <w:lang w:eastAsia="zh-CN"/>
        </w:rPr>
        <w:t>（</w:t>
      </w:r>
      <w:r>
        <w:rPr>
          <w:rFonts w:ascii="宋体" w:hAnsi="宋体" w:eastAsia="宋体"/>
          <w:color w:val="000000"/>
          <w:szCs w:val="21"/>
        </w:rPr>
        <w:t>1）室温采集</w:t>
      </w:r>
      <w:r>
        <w:rPr>
          <w:rFonts w:hint="eastAsia" w:ascii="宋体" w:hAnsi="宋体" w:eastAsia="宋体"/>
          <w:color w:val="000000"/>
          <w:szCs w:val="21"/>
          <w:lang w:val="en-US" w:eastAsia="zh-CN"/>
        </w:rPr>
        <w:t>控制</w:t>
      </w:r>
      <w:r>
        <w:rPr>
          <w:rFonts w:ascii="宋体" w:hAnsi="宋体" w:eastAsia="宋体"/>
          <w:color w:val="000000"/>
          <w:szCs w:val="21"/>
        </w:rPr>
        <w:t>装置应采用集成开关一体式结构，可直接更换热用户的开关，标准86盒安装方式。</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2）与智能阀之间采用微功耗无线通讯方式。</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3）测温元件最大测温允许偏差不应大于0.2℃, 传感器测温漂移不大于0.2℃/年。</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4）带有液晶显示屏，应实时显示设定温度、实测室温、住户编号、时钟、通讯状态、阀门状态等信息。</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5）显示分辨率为0.1℃，应具备控制室温的功能，室温控制精度应达到±0.5℃。</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6）采用固定安装的方式，安装位置应在客厅的暖墙上，远离产生冷、热源设备，避免对温度测量产生影响。</w:t>
      </w:r>
    </w:p>
    <w:p>
      <w:pPr>
        <w:snapToGrid w:val="0"/>
        <w:spacing w:line="360" w:lineRule="auto"/>
        <w:rPr>
          <w:rFonts w:hint="eastAsia"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7）供电方式</w:t>
      </w:r>
      <w:r>
        <w:rPr>
          <w:rFonts w:hint="eastAsia" w:ascii="宋体" w:hAnsi="宋体" w:eastAsia="宋体"/>
          <w:color w:val="000000"/>
          <w:szCs w:val="21"/>
          <w:lang w:eastAsia="zh-CN"/>
        </w:rPr>
        <w:t>：</w:t>
      </w:r>
      <w:r>
        <w:rPr>
          <w:rFonts w:hint="eastAsia" w:ascii="宋体" w:hAnsi="宋体" w:eastAsia="宋体"/>
          <w:color w:val="000000"/>
          <w:szCs w:val="21"/>
        </w:rPr>
        <w:t>市电供电方式（单火电取电方式），更换热用户现有的开关。</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eastAsia="zh-CN"/>
        </w:rPr>
        <w:t>（</w:t>
      </w:r>
      <w:r>
        <w:rPr>
          <w:rFonts w:hint="eastAsia" w:ascii="宋体" w:hAnsi="宋体" w:eastAsia="宋体"/>
          <w:color w:val="000000"/>
          <w:szCs w:val="21"/>
          <w:lang w:val="en-US" w:eastAsia="zh-CN"/>
        </w:rPr>
        <w:t>8</w:t>
      </w:r>
      <w:r>
        <w:rPr>
          <w:rFonts w:hint="eastAsia" w:ascii="宋体" w:hAnsi="宋体" w:eastAsia="宋体"/>
          <w:color w:val="000000"/>
          <w:szCs w:val="21"/>
          <w:lang w:eastAsia="zh-CN"/>
        </w:rPr>
        <w:t>）</w:t>
      </w:r>
      <w:r>
        <w:rPr>
          <w:rFonts w:hint="eastAsia" w:ascii="宋体" w:hAnsi="宋体" w:eastAsia="宋体"/>
          <w:color w:val="000000"/>
          <w:szCs w:val="21"/>
          <w:lang w:val="en-US" w:eastAsia="zh-CN"/>
        </w:rPr>
        <w:t>满足图纸设计要求</w:t>
      </w:r>
    </w:p>
    <w:p>
      <w:pPr>
        <w:snapToGrid w:val="0"/>
        <w:spacing w:line="360" w:lineRule="auto"/>
        <w:rPr>
          <w:rFonts w:ascii="宋体" w:hAnsi="宋体" w:eastAsia="宋体"/>
          <w:color w:val="000000"/>
          <w:szCs w:val="21"/>
        </w:rPr>
      </w:pPr>
      <w:r>
        <w:rPr>
          <w:rFonts w:hint="eastAsia" w:ascii="宋体" w:hAnsi="宋体" w:eastAsia="宋体"/>
          <w:color w:val="000000"/>
          <w:szCs w:val="21"/>
          <w:lang w:val="en-US" w:eastAsia="zh-CN"/>
        </w:rPr>
        <w:t>3.4.2户用</w:t>
      </w:r>
      <w:r>
        <w:rPr>
          <w:rFonts w:ascii="宋体" w:hAnsi="宋体" w:eastAsia="宋体"/>
          <w:color w:val="000000"/>
          <w:szCs w:val="21"/>
        </w:rPr>
        <w:t>智能阀</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1）阀体应采用黄铜/铜合金或不锈钢材料,表面镀铬处理，美观、耐磨、耐腐蚀。</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2）智能阀阀芯采用</w:t>
      </w:r>
      <w:r>
        <w:rPr>
          <w:rFonts w:hint="eastAsia" w:ascii="宋体" w:hAnsi="宋体" w:eastAsia="宋体"/>
          <w:color w:val="000000"/>
          <w:szCs w:val="21"/>
          <w:lang w:val="en-US" w:eastAsia="zh-CN"/>
        </w:rPr>
        <w:t>316L</w:t>
      </w:r>
      <w:r>
        <w:rPr>
          <w:rFonts w:ascii="宋体" w:hAnsi="宋体" w:eastAsia="宋体"/>
          <w:color w:val="000000"/>
          <w:szCs w:val="21"/>
        </w:rPr>
        <w:t>不锈钢制成，在保证足够的机械寿命和耐腐蚀、耐结垢特性的同时，还能保证其流量调节的特性。应具备0-100%调节功能，全开度时的低阻力特性，小开度调节时的高阻力特性，阀门关闭状态下应无泄漏。</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3）智能阀电动执行器齿轮箱宜采用金属支撑密封结构，保证足够的机械寿命和扭矩输出。</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4）智能阀电动执行器采用不大于DC24V安全电压供电或电池供电，保证安全；具有电源状态、运行状态、通讯状态等指示。</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5）智能阀应具有到位检测功能。</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6）智能阀带有</w:t>
      </w:r>
      <w:r>
        <w:rPr>
          <w:rFonts w:hint="eastAsia" w:ascii="宋体" w:hAnsi="宋体" w:eastAsia="宋体"/>
          <w:color w:val="000000"/>
          <w:szCs w:val="21"/>
          <w:lang w:val="en-US" w:eastAsia="zh-CN"/>
        </w:rPr>
        <w:t>测温装置</w:t>
      </w:r>
      <w:r>
        <w:rPr>
          <w:rFonts w:ascii="宋体" w:hAnsi="宋体" w:eastAsia="宋体"/>
          <w:color w:val="000000"/>
          <w:szCs w:val="21"/>
        </w:rPr>
        <w:t>，并可通过M-Bus或蓝牙等无线技术传输将数据传输至采集集中器。</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7）智能阀可通过M-BUS或无线通讯远程开关阀门、远程调节阀门开度大小，并实时反馈阀门开度位置，实现热用户水力平衡调节功能。</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8）智能阀阀体和电动执行器采用一体式防拆、防破坏设计。</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9）智能阀承压等级为PN16。</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10）智能阀阀体与管道连接采用双头内螺纹结构。</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11）智能阀在断电的情况下应保持原位，禁止自动关闭；当通讯中断或者执行机构不能正常动作时，控制器应有报警并发送上位机。</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11）耐久性寿命测试方法应符合JB/T8861-2004和JGT195-2007的规定。当开关次数达10万次时，阀门应运行无故障、无外漏、无损坏，须通过省级或省级以上产品质量监督检验测试部门的检测，具备检测报告。</w:t>
      </w:r>
    </w:p>
    <w:p>
      <w:pPr>
        <w:snapToGrid w:val="0"/>
        <w:spacing w:line="360" w:lineRule="auto"/>
        <w:rPr>
          <w:rFonts w:ascii="宋体" w:hAnsi="宋体" w:eastAsia="宋体"/>
          <w:color w:val="000000"/>
          <w:szCs w:val="21"/>
        </w:rPr>
      </w:pPr>
      <w:r>
        <w:rPr>
          <w:rFonts w:hint="eastAsia" w:ascii="宋体" w:hAnsi="宋体" w:eastAsia="宋体"/>
          <w:color w:val="000000"/>
          <w:szCs w:val="21"/>
        </w:rPr>
        <w:t>（</w:t>
      </w:r>
      <w:r>
        <w:rPr>
          <w:rFonts w:ascii="宋体" w:hAnsi="宋体" w:eastAsia="宋体"/>
          <w:color w:val="000000"/>
          <w:szCs w:val="21"/>
        </w:rPr>
        <w:t>12）防护等级应达到IP6</w:t>
      </w:r>
      <w:r>
        <w:rPr>
          <w:rFonts w:hint="eastAsia" w:ascii="宋体" w:hAnsi="宋体" w:eastAsia="宋体"/>
          <w:color w:val="000000"/>
          <w:szCs w:val="21"/>
          <w:lang w:val="en-US" w:eastAsia="zh-CN"/>
        </w:rPr>
        <w:t>8</w:t>
      </w:r>
      <w:r>
        <w:rPr>
          <w:rFonts w:ascii="宋体" w:hAnsi="宋体" w:eastAsia="宋体"/>
          <w:color w:val="000000"/>
          <w:szCs w:val="21"/>
        </w:rPr>
        <w:t>，须通过省级或省级以上产品质量监督检验测试部门的检测，具备检测报告。</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3.4.3户用热量表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（1）技术标准：户用热量表质量必须符合行业CJ128-2007标准。</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（2）热量表的精度等级应不低于2级。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（3）热量表的承压不低于1.6Mpa。</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（4）热量表的介质工作温度为5～95℃，工作时环境温度为：+5～55℃。</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（5）热量表的温度传感器类型为Pt500或Pt1000</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（6）显示内容：进回水温度、瞬时流量、累积流量等</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（7）热量表的防护等级不低于IP65。</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（8）双电源供电M-BUS通讯。</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（9）热量表铭牌上须有名称、型号、厂名、出厂日期、编号。</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（10）热量表包装箱应提供清单、使用说明书、接线图、出厂试验报告(包括流量计、积分仪、温度传感器等)、出厂检测报告。</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3.3.5采集集中器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（1）采集集中器应能接收数据信息处理系统的指令，按设定周期自动对智能阀、室温采集装置的数据进行采集。</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（2）要求采集集中器下面直接接智能阀，不允许使用中间集中器。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（3）具备同时兼容国内外30种以上超声波热量表的能力。</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（4）具备数据信息存储功能，数据保留时间不得少于24个月。电源中断后，应有措施至少保持数据和时钟一个月。电源恢复时，保存数据不丢失，内部时钟正常运行，并恢复正常存储功能。</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（5）与智能阀、户用热量表采用M-Bus通讯方式或无线通信方式。</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（6）内置DTU无线通讯模块，与智慧供热监控中心采用4G或NBIOT的传输方式。</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（7）电源：AC220V或电池供电，功率≤50W。</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（8）外壳防护等级不低于IP54，须通过省级或省级以上产品质量监督检验测试部门的检测，具备检测报告。</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（9）实现不少于200个点的数据采集与下发。</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3.4.5楼栋热力入口调节阀</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智能调节阀是由智能执行器、等百分比调节特性的V型球阀和内置温度传感器组成 ，具有智能调控功能。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1）执行标准：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GB/T13927-2008《工业阀门 压力试验》；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GB/T 12220-2015《工业阀门 标志》；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GB/T 12226-2005《通用阀门 灰铸铁件技术条件》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GB/T 12227-2005《通用阀门 球墨铸铁件技术条件》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2）工作条件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安装位置：单元/楼栋；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设计压力：1.6MPa；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工作介质：循环热水；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介质温度：0～99℃；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环境湿度：5～95%。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3）智能调节阀技术参数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连接方式：DN40～DN150口径为法兰连接；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DN20～DN32口径为螺纹连接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可调比：＞100。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泄漏率：≤0.01%Kvs。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流量特性：等百分比特性。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使用寿命：全行程10万次。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4）阀体的技术要求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阀体材质： WCB/球墨铸铁/黄铜；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阀芯材质：不锈钢；</w:t>
      </w:r>
      <w:r>
        <w:rPr>
          <w:rFonts w:hint="default" w:ascii="宋体" w:hAnsi="宋体" w:eastAsia="宋体"/>
          <w:color w:val="000000"/>
          <w:szCs w:val="21"/>
          <w:lang w:val="en-US" w:eastAsia="zh-CN"/>
        </w:rPr>
        <w:t xml:space="preserve">88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阀杆材质：不锈钢304/黄铜；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限位保护：机械限位；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阀芯与阀座的设计具有防卡死结构，保证阀门在水质较差的二级网环境下下长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期使用，并确保正常开启关闭；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阀体标识：标注流体方向、阀体参数等；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表面处理：表面处理采用静电喷涂工艺。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阀门阻力应在允许范围内，保证系统的正常调节。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5）智能执行器的技术要求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工作电压：AC/DC24V；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通讯接口：RS485接口/CAN总线接口；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具备4～20mA信号输入接口；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要求口径≥DN65智能调节阀配套执行器输出扭矩≥100N²m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要求口径≤DN50智能调节阀配套执行器输出扭矩≥20N²m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控制精度：必须达到0.1%的高调节精度；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全行程时间：≤140S±20s；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旋转角度：0-90°，机械限位；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防护等级达到IP65/IP68（单元、楼栋IP68）；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由通讯箱供电，采用24V安全电压，支持实时在线、连续调节；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智能调节阀阀与通讯箱之间信号传输采用有线连接。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6）智能执行器功能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具有显示功能：智能型执行机构可通过人机界面（手机APP）显示工作参数、运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行状态（开度、检测温度、目标温度）信息，故障报警等 。 </w:t>
      </w:r>
    </w:p>
    <w:p>
      <w:pPr>
        <w:snapToGrid w:val="0"/>
        <w:spacing w:line="360" w:lineRule="auto"/>
        <w:rPr>
          <w:rFonts w:hint="eastAsia" w:ascii="宋体" w:hAnsi="宋体" w:eastAsia="宋体"/>
          <w:color w:val="000000"/>
          <w:szCs w:val="21"/>
          <w:lang w:val="en-US" w:eastAsia="zh-CN"/>
        </w:rPr>
      </w:pPr>
      <w:r>
        <w:rPr>
          <w:rFonts w:hint="default" w:ascii="宋体" w:hAnsi="宋体" w:eastAsia="宋体"/>
          <w:color w:val="000000"/>
          <w:szCs w:val="21"/>
          <w:lang w:val="en-US" w:eastAsia="zh-CN"/>
        </w:rPr>
        <w:t xml:space="preserve"> </w:t>
      </w:r>
      <w:r>
        <w:rPr>
          <w:rFonts w:hint="eastAsia" w:ascii="宋体" w:hAnsi="宋体" w:eastAsia="宋体"/>
          <w:color w:val="000000"/>
          <w:szCs w:val="21"/>
          <w:lang w:val="en-US" w:eastAsia="zh-CN"/>
        </w:rPr>
        <w:t xml:space="preserve">具有参数设置功能：智能型执行机构可通过人机界面（手机APP）对运行模式切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换、自检、调整目标参数、控制阀门开度、偏差修订、参数调整等进行设定。 </w:t>
      </w:r>
    </w:p>
    <w:p>
      <w:pPr>
        <w:snapToGrid w:val="0"/>
        <w:spacing w:line="360" w:lineRule="auto"/>
        <w:rPr>
          <w:rFonts w:hint="eastAsia" w:ascii="宋体" w:hAnsi="宋体" w:eastAsia="宋体"/>
          <w:color w:val="000000"/>
          <w:szCs w:val="21"/>
          <w:lang w:val="en-US" w:eastAsia="zh-CN"/>
        </w:rPr>
      </w:pPr>
      <w:r>
        <w:rPr>
          <w:rFonts w:hint="default" w:ascii="宋体" w:hAnsi="宋体" w:eastAsia="宋体"/>
          <w:color w:val="000000"/>
          <w:szCs w:val="21"/>
          <w:lang w:val="en-US" w:eastAsia="zh-CN"/>
        </w:rPr>
        <w:t xml:space="preserve"> </w:t>
      </w:r>
      <w:r>
        <w:rPr>
          <w:rFonts w:hint="eastAsia" w:ascii="宋体" w:hAnsi="宋体" w:eastAsia="宋体"/>
          <w:color w:val="000000"/>
          <w:szCs w:val="21"/>
          <w:lang w:val="en-US" w:eastAsia="zh-CN"/>
        </w:rPr>
        <w:t xml:space="preserve">具有自诊断故障与报警功能：智能型执行机构可自行诊断运行过程中出现的异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常情况（电动机过流、阀门卡滞等）能够通过指示灯就地报警，并能通过PC端读取故障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信息和报警。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具有调节功能：智能型执行机构具有控制系统的基本调节功能，内部具有相应的算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法，外部有相应的通讯接口。远程和就地均可独立调节，在调节过程中无死区。应满足</w:t>
      </w:r>
      <w:r>
        <w:rPr>
          <w:rFonts w:hint="default" w:ascii="宋体" w:hAnsi="宋体" w:eastAsia="宋体"/>
          <w:color w:val="000000"/>
          <w:szCs w:val="21"/>
          <w:lang w:val="en-US" w:eastAsia="zh-CN"/>
        </w:rPr>
        <w:t xml:space="preserve">89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快速平衡的要求以及平衡调节精度的要求。平衡效果应达到平均室温偏差不超过±1℃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w:t>
      </w:r>
    </w:p>
    <w:p>
      <w:pPr>
        <w:snapToGrid w:val="0"/>
        <w:spacing w:line="360" w:lineRule="auto"/>
        <w:rPr>
          <w:rFonts w:hint="eastAsia" w:ascii="宋体" w:hAnsi="宋体" w:eastAsia="宋体"/>
          <w:color w:val="000000"/>
          <w:szCs w:val="21"/>
          <w:lang w:val="en-US" w:eastAsia="zh-CN"/>
        </w:rPr>
      </w:pPr>
      <w:r>
        <w:rPr>
          <w:rFonts w:hint="default" w:ascii="宋体" w:hAnsi="宋体" w:eastAsia="宋体"/>
          <w:color w:val="000000"/>
          <w:szCs w:val="21"/>
          <w:lang w:val="en-US" w:eastAsia="zh-CN"/>
        </w:rPr>
        <w:t xml:space="preserve"> </w:t>
      </w:r>
      <w:r>
        <w:rPr>
          <w:rFonts w:hint="eastAsia" w:ascii="宋体" w:hAnsi="宋体" w:eastAsia="宋体"/>
          <w:color w:val="000000"/>
          <w:szCs w:val="21"/>
          <w:lang w:val="en-US" w:eastAsia="zh-CN"/>
        </w:rPr>
        <w:t xml:space="preserve">具有阀门初始位置识别：智能型执行机构安装在有一定开度的阀门上时，通过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运行自诊断程序，能够识别确认阀门的初始位置。 </w:t>
      </w:r>
    </w:p>
    <w:p>
      <w:pPr>
        <w:snapToGrid w:val="0"/>
        <w:spacing w:line="360" w:lineRule="auto"/>
        <w:rPr>
          <w:rFonts w:hint="eastAsia" w:ascii="宋体" w:hAnsi="宋体" w:eastAsia="宋体"/>
          <w:color w:val="000000"/>
          <w:szCs w:val="21"/>
          <w:lang w:val="en-US" w:eastAsia="zh-CN"/>
        </w:rPr>
      </w:pPr>
      <w:r>
        <w:rPr>
          <w:rFonts w:hint="default" w:ascii="宋体" w:hAnsi="宋体" w:eastAsia="宋体"/>
          <w:color w:val="000000"/>
          <w:szCs w:val="21"/>
          <w:lang w:val="en-US" w:eastAsia="zh-CN"/>
        </w:rPr>
        <w:t xml:space="preserve"> </w:t>
      </w:r>
      <w:r>
        <w:rPr>
          <w:rFonts w:hint="eastAsia" w:ascii="宋体" w:hAnsi="宋体" w:eastAsia="宋体"/>
          <w:color w:val="000000"/>
          <w:szCs w:val="21"/>
          <w:lang w:val="en-US" w:eastAsia="zh-CN"/>
        </w:rPr>
        <w:t xml:space="preserve">具有通讯功能：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蓝牙通讯功能：执行机构就地具有蓝牙通讯功能，可以通过通讯单元控制蓝牙的开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关，采用手机APP作为执行机构的人机界面，通过手机端的蓝牙通讯与阀门控制器进行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数据交互。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RS485通讯功能：采用MODBUS-RTU通讯协议，主从站可以选择，波特率等通讯参数可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以设置。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7）其他要求 </w:t>
      </w:r>
    </w:p>
    <w:p>
      <w:pPr>
        <w:snapToGrid w:val="0"/>
        <w:spacing w:line="360" w:lineRule="auto"/>
        <w:rPr>
          <w:rFonts w:hint="eastAsia" w:ascii="宋体" w:hAnsi="宋体" w:eastAsia="宋体"/>
          <w:color w:val="000000"/>
          <w:szCs w:val="21"/>
          <w:lang w:val="en-US" w:eastAsia="zh-CN"/>
        </w:rPr>
      </w:pPr>
      <w:r>
        <w:rPr>
          <w:rFonts w:hint="default" w:ascii="宋体" w:hAnsi="宋体" w:eastAsia="宋体"/>
          <w:color w:val="000000"/>
          <w:szCs w:val="21"/>
          <w:lang w:val="en-US" w:eastAsia="zh-CN"/>
        </w:rPr>
        <w:t xml:space="preserve"> </w:t>
      </w:r>
      <w:r>
        <w:rPr>
          <w:rFonts w:hint="eastAsia" w:ascii="宋体" w:hAnsi="宋体" w:eastAsia="宋体"/>
          <w:color w:val="000000"/>
          <w:szCs w:val="21"/>
          <w:lang w:val="en-US" w:eastAsia="zh-CN"/>
        </w:rPr>
        <w:t xml:space="preserve">智能执行器需具备CE认证，并在投标文件中提供有效证书复印件并提供证书查询地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址。 </w:t>
      </w:r>
    </w:p>
    <w:p>
      <w:pPr>
        <w:snapToGrid w:val="0"/>
        <w:spacing w:line="360" w:lineRule="auto"/>
        <w:rPr>
          <w:rFonts w:hint="eastAsia" w:ascii="宋体" w:hAnsi="宋体" w:eastAsia="宋体"/>
          <w:color w:val="000000"/>
          <w:szCs w:val="21"/>
          <w:lang w:val="en-US" w:eastAsia="zh-CN"/>
        </w:rPr>
      </w:pPr>
      <w:r>
        <w:rPr>
          <w:rFonts w:hint="default" w:ascii="宋体" w:hAnsi="宋体" w:eastAsia="宋体"/>
          <w:color w:val="000000"/>
          <w:szCs w:val="21"/>
          <w:lang w:val="en-US" w:eastAsia="zh-CN"/>
        </w:rPr>
        <w:t xml:space="preserve"> </w:t>
      </w:r>
      <w:r>
        <w:rPr>
          <w:rFonts w:hint="eastAsia" w:ascii="宋体" w:hAnsi="宋体" w:eastAsia="宋体"/>
          <w:color w:val="000000"/>
          <w:szCs w:val="21"/>
          <w:lang w:val="en-US" w:eastAsia="zh-CN"/>
        </w:rPr>
        <w:t xml:space="preserve">智能调节阀需具有产品质量监督检验测试部门的检测报告，并在投标文件中提供检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测报告的复印件。 </w:t>
      </w:r>
    </w:p>
    <w:p>
      <w:pPr>
        <w:snapToGrid w:val="0"/>
        <w:spacing w:line="360" w:lineRule="auto"/>
        <w:rPr>
          <w:rFonts w:hint="eastAsia" w:ascii="宋体" w:hAnsi="宋体" w:eastAsia="宋体"/>
          <w:color w:val="000000"/>
          <w:szCs w:val="21"/>
          <w:lang w:val="en-US" w:eastAsia="zh-CN"/>
        </w:rPr>
      </w:pPr>
      <w:r>
        <w:rPr>
          <w:rFonts w:hint="default" w:ascii="宋体" w:hAnsi="宋体" w:eastAsia="宋体"/>
          <w:color w:val="000000"/>
          <w:szCs w:val="21"/>
          <w:lang w:val="en-US" w:eastAsia="zh-CN"/>
        </w:rPr>
        <w:t xml:space="preserve"> </w:t>
      </w:r>
      <w:r>
        <w:rPr>
          <w:rFonts w:hint="eastAsia" w:ascii="宋体" w:hAnsi="宋体" w:eastAsia="宋体"/>
          <w:color w:val="000000"/>
          <w:szCs w:val="21"/>
          <w:lang w:val="en-US" w:eastAsia="zh-CN"/>
        </w:rPr>
        <w:t xml:space="preserve">智能调节阀需具有《国家建筑工程质量监督检验中心》的《检验报告》，并在投标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文件中提供检测报告的复印件。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8) 配套正反法兰及螺栓等全部安装附件。</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3.4.6热力入口超声波热量表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包括超声波流量计、配对温度传感器及积算仪等整套设备</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技术要求：双电源供电，支持MODBUS RTU协议，采用双声道或多声道超声波传感器。具备RS485、RS232标准接口。</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电源：         220V（AC）50Hz， 24V（DC）</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防护等级：     不低于IP65</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最大压力损失： ≤0.01PMa</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总体精度：     EN1434标准 2级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流体温度：     5～150℃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环境温度：     0～50℃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耐压：        ≥2.5MPa</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热量计带供回水配对温度传感器（Pt500或Pt1000），具有最少7位的液晶显示，能显示和存储，包括热量、累计热量，流量和累计流量、供水温度、回水温度、温差及运行小时数等参数。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3.4.7压力变送器</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000000"/>
          <w:szCs w:val="21"/>
          <w:lang w:val="en-US" w:eastAsia="zh-CN"/>
        </w:rPr>
        <w:t>工作电</w:t>
      </w:r>
      <w:r>
        <w:rPr>
          <w:rFonts w:hint="eastAsia" w:ascii="宋体" w:hAnsi="宋体" w:eastAsia="宋体"/>
          <w:color w:val="auto"/>
          <w:szCs w:val="21"/>
          <w:lang w:val="en-US" w:eastAsia="zh-CN"/>
        </w:rPr>
        <w:t>压：      直流18V～33V</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输出信号：      RS485、MOBUS接口</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最大允许压力：  2倍量程（FS）</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破坏压力：      3倍量程（FS）</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压力等级：      PN16</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 xml:space="preserve">量程：          0~1.6MPa </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介质温度：      0～150℃</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工作环境温度：  -40～80℃</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工作环境湿度：  &lt;100% r.h.</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精度：          ≤0.5级</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温度偏移：      TC 零点 &lt; +0.04 % FS/K,TC灵敏度&lt; +0.015 % FS/K</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响应时间：      &lt;5 mS</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稳定性：       12个月漂移量小于URL的±0.1％</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防护等级：     IP65</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显示方式：     就地液晶显示</w:t>
      </w:r>
    </w:p>
    <w:p>
      <w:pPr>
        <w:snapToGrid w:val="0"/>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3.4.8温度变送器</w:t>
      </w:r>
    </w:p>
    <w:p>
      <w:pPr>
        <w:snapToGrid w:val="0"/>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输出信号：      RS485、MOBUS接口</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热电阻：        Pt100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精度等级：      ≤0.5级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压力等级：      PN16</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测温范围：      -10～150℃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元件支数：      单支</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显示方式：      就地液晶显示</w:t>
      </w:r>
    </w:p>
    <w:p>
      <w:pPr>
        <w:snapToGrid w:val="0"/>
        <w:spacing w:line="360" w:lineRule="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保护管：        不锈钢316材质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插入深度：      可调</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3.4.9就地温度、压力表</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就地温度表：WSS411    0~100℃</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就地压力表：Y-100   0~1.6MPa</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3.4.10其他设备</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焊接球阀（Q61F-16C  材质：碳钢）、丝接手动锁控一体阀（PN16  材质：铜）、在线排污器（ P=1.6MPa  材质：碳钢  通径直通式 连接方式：焊接）、Y型排污器（P=1.6MPa   材质：铜  连接方式：丝接，介质温度：50°C  过滤精度：0.8mm 阻力损失：≤15KPa）等设备应满足图纸要求。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3.5安装要求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3.5.1产品安装检验要求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户用热量表、户用智能阀、室温采集装置、采集集中器、热力入口热量表、热力入口电调阀等主要部件，以及电线电缆、联网接线盒、线管等辅助材料进场时，应按照设计文件、施工图设计要求对其类型、规格及外观等进行进场验收，各种产品和材料的质量合格证明文件和相关技术资料应齐全，并应符合国家及地方有关标准和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3.5.2室温采集装置安装应符合下列规定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1）供电正常、显示内容正常且符合标准规定；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2）室温设定范围符合相关标准规定；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3）固定安装位置应符合设计及技术要求；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3.5.3户用智能阀安装应符合下列规定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1）控制器应显示或指示正常、符合产品标识；安装便于观察、维修维护。</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2）安装牢固，不得有渗漏。</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3）智能阀安装完毕后，管道应保温，保温材料应包裹智能阀的基座。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4）智能阀安装在管道井内，应为不高于DC24V安全电压供电。</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5）智能阀的供电及通讯应正常，无断路、短路。</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3.5.4热量表安装应符合下列规定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1）应保证前五后三的直管段要求。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2）应显示或指示正常、符合产品标识；安装便于观察、维修维护。</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3）安装牢固，不得有渗漏。</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4）安装完毕后，管道应保温，保温材料应包裹智能阀的基座。</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5）通讯应正常，无断路、短路。</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3.5.4采集集中器安装应符合下列要求 </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1）采集集中器箱体安装位置应符合设计要求；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2）采集集中器与智能阀和热量表之间采用有线通讯方式，通讯线缆及电源线缆应安装在保护套管内，采集集中器应安装在信号较好的弱电井或者楼梯间内，且远离电磁或静电干扰源；</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3）楼内管井如临近弱电井、应在弱电井内竖向布线。在热力管井内竖向布线时，应打孔敷设套管，套管与孔洞结构应用油麻密封填实；</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4）采集集中器与各部件之间的数据通讯综合布线应按照规范标准进行施工，符合《电气装置安装工程盘、柜及二次回路接线施工及验收规范》GB50171的要求；</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5）采集集中器的数据显示等功能正常，读取各热用户供回水温度、瞬时流量、累计热量、阀门状态、室内温度等数据信息正常。</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3.5.5供（配）电系统及其安装施工应符合下列规定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1）供（配）电系统及其安装施工应符合设计要求及《建筑电气工程施工质量验收规范》GB50303的有关规定；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2）配电系统选择的电缆、电线截面不得低于设计值，电源线采用规格为RVV2*2.5的护套线，通讯线采用规格为RVV2*0.75的双绞线；</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 配电线缆应穿保护套管或在电缆槽内敷设。保护套管应排列整齐、固定牢固；</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4）系统的供电电源应由计量电表箱引出（220V AC），应设置安装保护装置（如：空开、漏电保护等）；</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3.5.7数据通讯系统及其安装施工应符合下列规定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1）数据通讯线缆应穿保护套管或在电缆槽内敷设。</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2）分线接点施工应符合《电气装置安装工程盘、柜及二次回路接线施工及验收规范》GB50171，应采用联网接线盒安装。</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3.5.8数据存储及远程数据传输系统应符合下列规定</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1）采集集中器内存储的用户历史数据记录及用户信息等符合要求，历史数据及用户信息等现场读取正常，可按产品说明书规定的方式在现场正常导入计算机；</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2）智慧热网监控中心数据信息系统中，所有热用户的信息录入正确；</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3）各热用户对应的采集集中器、热量表编码、智能阀编码、室温室温采集装置等相对应；</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 xml:space="preserve"> 4）数据信息管理系统运行正常，通讯正常，联网控制系统的各类数据信号畅通正常。</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3.5.9其他设备</w:t>
      </w:r>
    </w:p>
    <w:p>
      <w:pPr>
        <w:snapToGrid w:val="0"/>
        <w:spacing w:line="360" w:lineRule="auto"/>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其他设备严格按照厂家安装标准进行安装，热量表、流量计安装时必须满足前后直管段的要求，前后直管段的长度确定应符合流量计厂家的具体要求。</w:t>
      </w:r>
    </w:p>
    <w:p>
      <w:pPr>
        <w:rPr>
          <w:rFonts w:hint="eastAsia"/>
          <w:lang w:val="en-US" w:eastAsia="zh-CN"/>
        </w:rPr>
      </w:pPr>
    </w:p>
    <w:bookmarkEnd w:id="149"/>
    <w:bookmarkEnd w:id="150"/>
    <w:p>
      <w:pPr>
        <w:pStyle w:val="2"/>
        <w:numPr>
          <w:ilvl w:val="0"/>
          <w:numId w:val="0"/>
        </w:num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both"/>
        <w:textAlignment w:val="auto"/>
        <w:outlineLvl w:val="1"/>
        <w:rPr>
          <w:rFonts w:hint="eastAsia" w:ascii="宋体" w:cs="宋体"/>
          <w:b/>
          <w:bCs/>
          <w:snapToGrid w:val="0"/>
          <w:kern w:val="0"/>
          <w:sz w:val="44"/>
          <w:szCs w:val="44"/>
          <w:lang w:val="en-US" w:eastAsia="zh-CN" w:bidi="ar-SA"/>
        </w:rPr>
      </w:pPr>
    </w:p>
    <w:p>
      <w:pPr>
        <w:keepNext w:val="0"/>
        <w:keepLines w:val="0"/>
        <w:pageBreakBefore w:val="0"/>
        <w:numPr>
          <w:ilvl w:val="0"/>
          <w:numId w:val="0"/>
        </w:numPr>
        <w:kinsoku/>
        <w:overflowPunct/>
        <w:topLinePunct w:val="0"/>
        <w:autoSpaceDE/>
        <w:autoSpaceDN/>
        <w:bidi w:val="0"/>
        <w:adjustRightInd/>
        <w:snapToGrid/>
        <w:spacing w:line="560" w:lineRule="exact"/>
        <w:jc w:val="center"/>
        <w:textAlignment w:val="auto"/>
        <w:outlineLvl w:val="1"/>
        <w:rPr>
          <w:rFonts w:hint="eastAsia" w:ascii="宋体" w:hAnsi="Calibri" w:eastAsia="宋体" w:cs="宋体"/>
          <w:b/>
          <w:bCs/>
          <w:snapToGrid w:val="0"/>
          <w:kern w:val="0"/>
          <w:sz w:val="44"/>
          <w:szCs w:val="44"/>
          <w:lang w:val="en-US" w:eastAsia="zh-CN" w:bidi="ar-SA"/>
        </w:rPr>
      </w:pPr>
      <w:r>
        <w:rPr>
          <w:rFonts w:hint="eastAsia" w:ascii="宋体" w:cs="宋体"/>
          <w:b/>
          <w:bCs/>
          <w:snapToGrid w:val="0"/>
          <w:kern w:val="0"/>
          <w:sz w:val="44"/>
          <w:szCs w:val="44"/>
          <w:lang w:val="en-US" w:eastAsia="zh-CN" w:bidi="ar-SA"/>
        </w:rPr>
        <w:t>二、热力站自控</w:t>
      </w:r>
      <w:r>
        <w:rPr>
          <w:rFonts w:hint="eastAsia" w:ascii="宋体" w:hAnsi="Calibri" w:eastAsia="宋体" w:cs="宋体"/>
          <w:b/>
          <w:bCs/>
          <w:snapToGrid w:val="0"/>
          <w:kern w:val="0"/>
          <w:sz w:val="44"/>
          <w:szCs w:val="44"/>
          <w:lang w:val="en-US" w:eastAsia="zh-CN" w:bidi="ar-SA"/>
        </w:rPr>
        <w:t>技术要求</w:t>
      </w:r>
    </w:p>
    <w:p>
      <w:pPr>
        <w:pStyle w:val="23"/>
        <w:spacing w:before="280" w:after="240" w:afterAutospacing="0"/>
        <w:rPr>
          <w:rFonts w:ascii="宋体" w:hAnsi="宋体"/>
          <w:b/>
        </w:rPr>
      </w:pPr>
      <w:r>
        <w:rPr>
          <w:rFonts w:ascii="宋体" w:hAnsi="宋体"/>
          <w:b/>
        </w:rPr>
        <w:br w:type="textWrapping"/>
      </w:r>
      <w:r>
        <w:rPr>
          <w:rFonts w:ascii="宋体" w:hAnsi="宋体"/>
          <w:b/>
        </w:rPr>
        <w:t>一、总则</w:t>
      </w:r>
    </w:p>
    <w:p>
      <w:pPr>
        <w:spacing w:line="360" w:lineRule="auto"/>
        <w:jc w:val="left"/>
        <w:rPr>
          <w:rFonts w:ascii="宋体" w:hAnsi="宋体"/>
          <w:color w:val="000000"/>
          <w:szCs w:val="21"/>
        </w:rPr>
      </w:pPr>
      <w:r>
        <w:rPr>
          <w:rFonts w:ascii="宋体" w:hAnsi="宋体"/>
          <w:color w:val="000000"/>
          <w:szCs w:val="21"/>
        </w:rPr>
        <w:t>1.1本技术规范书适用于自控系统设备及其配套的电缆、桥架、套管等材料的采购、安装</w:t>
      </w:r>
      <w:r>
        <w:rPr>
          <w:rFonts w:hint="eastAsia" w:ascii="宋体" w:hAnsi="宋体"/>
          <w:color w:val="000000"/>
          <w:szCs w:val="21"/>
          <w:lang w:eastAsia="zh-CN"/>
        </w:rPr>
        <w:t>、</w:t>
      </w:r>
      <w:r>
        <w:rPr>
          <w:rFonts w:ascii="宋体" w:hAnsi="宋体"/>
          <w:color w:val="000000"/>
          <w:szCs w:val="21"/>
        </w:rPr>
        <w:t>调试，它提出了自控</w:t>
      </w:r>
      <w:r>
        <w:rPr>
          <w:rFonts w:hint="eastAsia" w:ascii="宋体" w:hAnsi="宋体"/>
          <w:color w:val="000000"/>
          <w:szCs w:val="21"/>
        </w:rPr>
        <w:t>系统、</w:t>
      </w:r>
      <w:r>
        <w:rPr>
          <w:rFonts w:ascii="宋体" w:hAnsi="宋体"/>
          <w:color w:val="000000"/>
          <w:szCs w:val="21"/>
        </w:rPr>
        <w:t>视频监控系统的制造、供货、施工、性能、调试等方面的要求。</w:t>
      </w:r>
    </w:p>
    <w:p>
      <w:pPr>
        <w:snapToGrid w:val="0"/>
        <w:spacing w:line="360" w:lineRule="auto"/>
        <w:rPr>
          <w:rFonts w:ascii="宋体" w:hAnsi="宋体"/>
          <w:color w:val="000000"/>
          <w:szCs w:val="21"/>
        </w:rPr>
      </w:pPr>
      <w:r>
        <w:rPr>
          <w:rFonts w:ascii="宋体" w:hAnsi="宋体"/>
          <w:color w:val="000000"/>
          <w:szCs w:val="21"/>
        </w:rPr>
        <w:t>1.2规范提出的是最低限度的技术要求。凡本技术规范中未规定，但在相关设备的国家标准中有规定的规范条文，投标方应按相应标准的条文进行设备设计、制造、试验和安装。对国家有关安全、环保等强制性标准的，必须满足其要求。</w:t>
      </w:r>
    </w:p>
    <w:p>
      <w:pPr>
        <w:snapToGrid w:val="0"/>
        <w:spacing w:line="360" w:lineRule="auto"/>
        <w:rPr>
          <w:rFonts w:ascii="宋体" w:hAnsi="宋体"/>
          <w:color w:val="000000"/>
          <w:szCs w:val="21"/>
        </w:rPr>
      </w:pPr>
      <w:r>
        <w:rPr>
          <w:rFonts w:ascii="宋体" w:hAnsi="宋体"/>
          <w:color w:val="000000"/>
          <w:szCs w:val="21"/>
        </w:rPr>
        <w:t>1.3没有以书面形式对本招标要求的条文提出异议，则意味着投标方提供的设备完全符合本招标书的要求。如有异议，不管是多么微小，都应在投标文件中以“对规范书的意见和同规范书的差异”为标题的专门章节中加以详细描述。</w:t>
      </w:r>
    </w:p>
    <w:p>
      <w:pPr>
        <w:snapToGrid w:val="0"/>
        <w:spacing w:line="360" w:lineRule="auto"/>
        <w:rPr>
          <w:rFonts w:ascii="宋体" w:hAnsi="宋体"/>
          <w:color w:val="000000"/>
          <w:szCs w:val="21"/>
        </w:rPr>
      </w:pPr>
      <w:r>
        <w:rPr>
          <w:rFonts w:ascii="宋体" w:hAnsi="宋体"/>
          <w:color w:val="000000"/>
          <w:szCs w:val="21"/>
        </w:rPr>
        <w:t>1.4  本技术规范书所使用的标准如与投标方所执行的标准不一致时, 按较高标准执行。</w:t>
      </w:r>
    </w:p>
    <w:p>
      <w:pPr>
        <w:snapToGrid w:val="0"/>
        <w:spacing w:line="360" w:lineRule="auto"/>
        <w:rPr>
          <w:rFonts w:ascii="宋体" w:hAnsi="宋体"/>
          <w:color w:val="000000"/>
          <w:szCs w:val="21"/>
        </w:rPr>
      </w:pPr>
      <w:r>
        <w:rPr>
          <w:rFonts w:ascii="宋体" w:hAnsi="宋体"/>
          <w:color w:val="000000"/>
          <w:szCs w:val="21"/>
        </w:rPr>
        <w:t>1.5  本技术规范书经买、卖双方确认后作为订货合同的技术附件, 与合同正文具有同等的法律效力。</w:t>
      </w:r>
    </w:p>
    <w:p>
      <w:pPr>
        <w:snapToGrid w:val="0"/>
        <w:spacing w:line="360" w:lineRule="auto"/>
        <w:rPr>
          <w:rFonts w:ascii="宋体" w:hAnsi="宋体"/>
          <w:color w:val="000000"/>
          <w:szCs w:val="21"/>
        </w:rPr>
      </w:pPr>
      <w:r>
        <w:rPr>
          <w:rFonts w:ascii="宋体" w:hAnsi="宋体"/>
          <w:color w:val="000000"/>
          <w:szCs w:val="21"/>
        </w:rPr>
        <w:t>1.6　投标人在投标时应提供的技术文件</w:t>
      </w:r>
    </w:p>
    <w:p>
      <w:pPr>
        <w:snapToGrid w:val="0"/>
        <w:spacing w:line="360" w:lineRule="auto"/>
        <w:rPr>
          <w:rFonts w:ascii="宋体" w:hAnsi="宋体"/>
          <w:color w:val="000000"/>
          <w:szCs w:val="21"/>
        </w:rPr>
      </w:pPr>
      <w:r>
        <w:rPr>
          <w:rFonts w:ascii="宋体" w:hAnsi="宋体"/>
          <w:color w:val="000000"/>
          <w:szCs w:val="21"/>
        </w:rPr>
        <w:t>1.6.1质量保证模式及质量体系认证证书；</w:t>
      </w:r>
    </w:p>
    <w:p>
      <w:pPr>
        <w:snapToGrid w:val="0"/>
        <w:spacing w:line="360" w:lineRule="auto"/>
        <w:rPr>
          <w:rFonts w:ascii="宋体" w:hAnsi="宋体"/>
          <w:color w:val="000000"/>
          <w:szCs w:val="21"/>
        </w:rPr>
      </w:pPr>
      <w:r>
        <w:rPr>
          <w:rFonts w:ascii="宋体" w:hAnsi="宋体"/>
          <w:color w:val="000000"/>
          <w:szCs w:val="21"/>
        </w:rPr>
        <w:t>1.6.2应用在供热的相关产品的销售及运行业绩；</w:t>
      </w:r>
    </w:p>
    <w:p>
      <w:pPr>
        <w:snapToGrid w:val="0"/>
        <w:spacing w:line="360" w:lineRule="auto"/>
        <w:rPr>
          <w:rFonts w:ascii="宋体" w:hAnsi="宋体"/>
          <w:color w:val="000000"/>
          <w:szCs w:val="21"/>
        </w:rPr>
      </w:pPr>
      <w:r>
        <w:rPr>
          <w:rFonts w:ascii="宋体" w:hAnsi="宋体"/>
          <w:color w:val="000000"/>
          <w:szCs w:val="21"/>
        </w:rPr>
        <w:t>1.6.3设备认定的主要技术文件；</w:t>
      </w:r>
    </w:p>
    <w:p>
      <w:pPr>
        <w:snapToGrid w:val="0"/>
        <w:spacing w:line="360" w:lineRule="auto"/>
        <w:rPr>
          <w:rFonts w:ascii="宋体" w:hAnsi="宋体"/>
          <w:color w:val="000000"/>
          <w:szCs w:val="21"/>
        </w:rPr>
      </w:pPr>
      <w:r>
        <w:rPr>
          <w:rFonts w:ascii="宋体" w:hAnsi="宋体"/>
          <w:color w:val="000000"/>
          <w:szCs w:val="21"/>
        </w:rPr>
        <w:t>1.6.4产品主要技术参数表；</w:t>
      </w:r>
    </w:p>
    <w:p>
      <w:pPr>
        <w:snapToGrid w:val="0"/>
        <w:spacing w:line="360" w:lineRule="auto"/>
        <w:rPr>
          <w:rFonts w:ascii="宋体" w:hAnsi="宋体"/>
          <w:color w:val="000000"/>
          <w:szCs w:val="21"/>
        </w:rPr>
      </w:pPr>
      <w:r>
        <w:rPr>
          <w:rFonts w:ascii="宋体" w:hAnsi="宋体"/>
          <w:color w:val="000000"/>
          <w:szCs w:val="21"/>
        </w:rPr>
        <w:t>1.6.5技术差异表；</w:t>
      </w:r>
    </w:p>
    <w:p>
      <w:pPr>
        <w:snapToGrid w:val="0"/>
        <w:spacing w:line="360" w:lineRule="auto"/>
        <w:rPr>
          <w:rFonts w:ascii="宋体" w:hAnsi="宋体"/>
          <w:color w:val="000000"/>
          <w:szCs w:val="21"/>
        </w:rPr>
      </w:pPr>
      <w:r>
        <w:rPr>
          <w:rFonts w:ascii="宋体" w:hAnsi="宋体"/>
          <w:color w:val="000000"/>
          <w:szCs w:val="21"/>
        </w:rPr>
        <w:t>1.6.6投标人建议提供的备品备件清单和专用工具与仪器仪表清单；</w:t>
      </w:r>
    </w:p>
    <w:p>
      <w:pPr>
        <w:snapToGrid w:val="0"/>
        <w:spacing w:line="360" w:lineRule="auto"/>
        <w:rPr>
          <w:rFonts w:ascii="宋体" w:hAnsi="宋体"/>
          <w:color w:val="000000"/>
          <w:szCs w:val="21"/>
        </w:rPr>
      </w:pPr>
      <w:r>
        <w:rPr>
          <w:rFonts w:ascii="宋体" w:hAnsi="宋体"/>
          <w:color w:val="000000"/>
          <w:szCs w:val="21"/>
        </w:rPr>
        <w:t>1.7在签订合同之后，招标方保留对本技术规范书提出补充要求和修改的权力，投标方应承诺予以配合。如提出修改，具体项目和条件由招标方、投标方共同商定。</w:t>
      </w:r>
    </w:p>
    <w:p>
      <w:pPr>
        <w:snapToGrid w:val="0"/>
        <w:spacing w:line="360" w:lineRule="auto"/>
        <w:rPr>
          <w:rFonts w:ascii="宋体" w:hAnsi="宋体"/>
          <w:color w:val="000000"/>
          <w:szCs w:val="21"/>
        </w:rPr>
      </w:pPr>
      <w:r>
        <w:rPr>
          <w:rFonts w:ascii="宋体" w:hAnsi="宋体"/>
          <w:color w:val="000000"/>
          <w:szCs w:val="21"/>
        </w:rPr>
        <w:t>1.8所有文件、图纸及相互通讯，均使用中文；技术规范书及合同规定的文件，包括图纸、计算、说明、使用手册等，均使用国际单位制（SI）。</w:t>
      </w:r>
    </w:p>
    <w:p>
      <w:pPr>
        <w:snapToGrid w:val="0"/>
        <w:spacing w:line="360" w:lineRule="auto"/>
        <w:rPr>
          <w:rFonts w:ascii="宋体" w:hAnsi="宋体"/>
        </w:rPr>
      </w:pPr>
      <w:r>
        <w:rPr>
          <w:rFonts w:ascii="宋体" w:hAnsi="宋体"/>
        </w:rPr>
        <w:t>1.9投标方所采用的产品，必须是技术和工艺先进，并经过两年以上运行实践证明是成熟可靠的产品，对于未经过实践的设计不予采纳。</w:t>
      </w:r>
    </w:p>
    <w:p>
      <w:pPr>
        <w:snapToGrid w:val="0"/>
        <w:spacing w:line="360" w:lineRule="auto"/>
        <w:rPr>
          <w:rFonts w:ascii="宋体" w:hAnsi="宋体"/>
        </w:rPr>
      </w:pPr>
      <w:r>
        <w:rPr>
          <w:rFonts w:ascii="宋体" w:hAnsi="宋体"/>
        </w:rPr>
        <w:t>1.10投标方对提供的设备及材料负有全部技术责任，主要外购零部件必须满足本技术规范要求。</w:t>
      </w:r>
    </w:p>
    <w:p>
      <w:pPr>
        <w:snapToGrid w:val="0"/>
        <w:spacing w:line="360" w:lineRule="auto"/>
        <w:rPr>
          <w:rFonts w:ascii="宋体" w:hAnsi="宋体"/>
        </w:rPr>
      </w:pPr>
      <w:r>
        <w:rPr>
          <w:rFonts w:ascii="宋体" w:hAnsi="宋体"/>
        </w:rPr>
        <w:t>1.1</w:t>
      </w:r>
      <w:r>
        <w:rPr>
          <w:rFonts w:hint="eastAsia" w:ascii="宋体" w:hAnsi="宋体"/>
          <w:lang w:val="en-US" w:eastAsia="zh-CN"/>
        </w:rPr>
        <w:t>1</w:t>
      </w:r>
      <w:r>
        <w:rPr>
          <w:rFonts w:ascii="宋体" w:hAnsi="宋体"/>
        </w:rPr>
        <w:t>本</w:t>
      </w:r>
      <w:r>
        <w:rPr>
          <w:rFonts w:hint="eastAsia" w:ascii="宋体" w:hAnsi="宋体"/>
          <w:lang w:eastAsia="zh-CN"/>
        </w:rPr>
        <w:t>项目</w:t>
      </w:r>
      <w:r>
        <w:rPr>
          <w:rFonts w:ascii="宋体" w:hAnsi="宋体"/>
        </w:rPr>
        <w:t>为热力站的自控系统及其配套的电缆、桥架、套管等材料的采购、</w:t>
      </w:r>
      <w:r>
        <w:rPr>
          <w:rFonts w:hint="eastAsia" w:ascii="宋体" w:hAnsi="宋体"/>
        </w:rPr>
        <w:t>安装</w:t>
      </w:r>
      <w:r>
        <w:rPr>
          <w:rFonts w:hint="eastAsia" w:ascii="宋体" w:hAnsi="宋体"/>
          <w:lang w:eastAsia="zh-CN"/>
        </w:rPr>
        <w:t>、</w:t>
      </w:r>
      <w:r>
        <w:rPr>
          <w:rFonts w:ascii="宋体" w:hAnsi="宋体"/>
        </w:rPr>
        <w:t>调试</w:t>
      </w:r>
      <w:r>
        <w:rPr>
          <w:rFonts w:hint="eastAsia" w:ascii="宋体" w:hAnsi="宋体"/>
        </w:rPr>
        <w:t>和系统对接后功能调试</w:t>
      </w:r>
      <w:r>
        <w:rPr>
          <w:rFonts w:ascii="宋体" w:hAnsi="宋体"/>
        </w:rPr>
        <w:t>，投标方主要工作量如下：</w:t>
      </w:r>
    </w:p>
    <w:p>
      <w:pPr>
        <w:snapToGrid w:val="0"/>
        <w:spacing w:line="360" w:lineRule="auto"/>
        <w:rPr>
          <w:rFonts w:ascii="宋体" w:hAnsi="宋体"/>
        </w:rPr>
      </w:pPr>
      <w:r>
        <w:rPr>
          <w:rFonts w:ascii="宋体" w:hAnsi="宋体"/>
        </w:rPr>
        <w:t>1、热力站</w:t>
      </w:r>
    </w:p>
    <w:p>
      <w:pPr>
        <w:snapToGrid w:val="0"/>
        <w:spacing w:line="360" w:lineRule="auto"/>
        <w:rPr>
          <w:rFonts w:ascii="宋体" w:hAnsi="宋体"/>
        </w:rPr>
      </w:pPr>
      <w:r>
        <w:rPr>
          <w:rFonts w:ascii="宋体" w:hAnsi="宋体"/>
        </w:rPr>
        <w:t>热力站整套自控系统、视频监控系统（具体设备详单详见附表）的供货、安装、调试；热力站整套自控系统安装所需的电缆、桥架、套管、挠性连接管及其辅材。</w:t>
      </w:r>
    </w:p>
    <w:p>
      <w:pPr>
        <w:snapToGrid w:val="0"/>
        <w:spacing w:line="360" w:lineRule="auto"/>
        <w:rPr>
          <w:rFonts w:ascii="宋体" w:hAnsi="宋体"/>
        </w:rPr>
      </w:pPr>
      <w:r>
        <w:rPr>
          <w:rFonts w:ascii="宋体" w:hAnsi="宋体"/>
        </w:rPr>
        <w:t>2、热力站与数据数据中心系统对接调试</w:t>
      </w:r>
    </w:p>
    <w:p>
      <w:pPr>
        <w:snapToGrid w:val="0"/>
        <w:spacing w:line="360" w:lineRule="auto"/>
        <w:rPr>
          <w:rFonts w:hint="eastAsia" w:ascii="宋体" w:hAnsi="宋体"/>
        </w:rPr>
      </w:pPr>
      <w:r>
        <w:rPr>
          <w:rFonts w:hint="eastAsia" w:ascii="宋体" w:hAnsi="宋体"/>
          <w:lang w:val="en-US" w:eastAsia="zh-CN"/>
        </w:rPr>
        <w:t>G地块、S地块</w:t>
      </w:r>
      <w:r>
        <w:rPr>
          <w:rFonts w:hint="eastAsia" w:ascii="宋体" w:hAnsi="宋体"/>
        </w:rPr>
        <w:t>热力站自控系统接入</w:t>
      </w:r>
      <w:r>
        <w:rPr>
          <w:rFonts w:hint="eastAsia" w:ascii="宋体" w:hAnsi="宋体"/>
          <w:lang w:val="en-US" w:eastAsia="zh-CN"/>
        </w:rPr>
        <w:t>石家庄供热集团数据中心</w:t>
      </w:r>
      <w:r>
        <w:rPr>
          <w:rFonts w:hint="eastAsia" w:ascii="宋体" w:hAnsi="宋体"/>
        </w:rPr>
        <w:t>，</w:t>
      </w:r>
      <w:r>
        <w:rPr>
          <w:rFonts w:hint="eastAsia" w:ascii="宋体" w:hAnsi="宋体"/>
          <w:lang w:val="en-US" w:eastAsia="zh-CN"/>
        </w:rPr>
        <w:t>其它地块</w:t>
      </w:r>
      <w:r>
        <w:rPr>
          <w:rFonts w:hint="eastAsia" w:ascii="宋体" w:hAnsi="宋体"/>
        </w:rPr>
        <w:t>热力站自控系统接入</w:t>
      </w:r>
      <w:r>
        <w:rPr>
          <w:rFonts w:hint="eastAsia" w:ascii="宋体" w:hAnsi="宋体"/>
          <w:lang w:val="en-US" w:eastAsia="zh-CN"/>
        </w:rPr>
        <w:t>热源所属供热公司数据中心和石家庄供热集团数据中心两处，投标方</w:t>
      </w:r>
      <w:r>
        <w:rPr>
          <w:rFonts w:hint="eastAsia" w:ascii="宋体" w:hAnsi="宋体"/>
        </w:rPr>
        <w:t>负责热力站与</w:t>
      </w:r>
      <w:r>
        <w:rPr>
          <w:rFonts w:hint="eastAsia" w:ascii="宋体" w:hAnsi="宋体"/>
          <w:lang w:val="en-US" w:eastAsia="zh-CN"/>
        </w:rPr>
        <w:t>数据中心</w:t>
      </w:r>
      <w:r>
        <w:rPr>
          <w:rFonts w:ascii="宋体" w:hAnsi="宋体"/>
        </w:rPr>
        <w:t>对接调试，SCADA系统热态调试，对SCADA系统的中心平台功能、远程终端站功能、通讯功能进行整体热测试，保证本技术规范要求的所有功能的实现</w:t>
      </w:r>
      <w:r>
        <w:rPr>
          <w:rFonts w:hint="eastAsia" w:ascii="宋体" w:hAnsi="宋体"/>
        </w:rPr>
        <w:t>。</w:t>
      </w:r>
    </w:p>
    <w:p>
      <w:pPr>
        <w:snapToGrid w:val="0"/>
        <w:spacing w:line="360" w:lineRule="auto"/>
        <w:rPr>
          <w:rFonts w:ascii="宋体" w:hAnsi="宋体"/>
        </w:rPr>
      </w:pPr>
      <w:r>
        <w:rPr>
          <w:rFonts w:ascii="宋体" w:hAnsi="宋体"/>
        </w:rPr>
        <w:t>1.1</w:t>
      </w:r>
      <w:r>
        <w:rPr>
          <w:rFonts w:hint="eastAsia" w:ascii="宋体" w:hAnsi="宋体"/>
          <w:lang w:val="en-US" w:eastAsia="zh-CN"/>
        </w:rPr>
        <w:t>2</w:t>
      </w:r>
      <w:r>
        <w:rPr>
          <w:rFonts w:ascii="宋体" w:hAnsi="宋体"/>
        </w:rPr>
        <w:t xml:space="preserve"> 依据标准。</w:t>
      </w:r>
    </w:p>
    <w:p>
      <w:pPr>
        <w:snapToGrid w:val="0"/>
        <w:spacing w:line="360" w:lineRule="auto"/>
        <w:rPr>
          <w:rFonts w:ascii="宋体" w:hAnsi="宋体"/>
        </w:rPr>
      </w:pPr>
      <w:r>
        <w:rPr>
          <w:rFonts w:ascii="宋体" w:hAnsi="宋体"/>
        </w:rPr>
        <w:t xml:space="preserve">所供设备和材料的设计、制造、检查、试验等应满足下列规范和标准，但不限于此：            </w:t>
      </w:r>
    </w:p>
    <w:p>
      <w:pPr>
        <w:spacing w:line="360" w:lineRule="auto"/>
        <w:rPr>
          <w:rFonts w:ascii="宋体" w:hAnsi="宋体"/>
        </w:rPr>
      </w:pPr>
      <w:r>
        <w:rPr>
          <w:rFonts w:ascii="宋体" w:hAnsi="宋体"/>
        </w:rPr>
        <w:t xml:space="preserve">《机电产品包装通用技术条件》GB/T 13384  </w:t>
      </w:r>
    </w:p>
    <w:p>
      <w:pPr>
        <w:spacing w:line="360" w:lineRule="auto"/>
        <w:rPr>
          <w:rFonts w:ascii="宋体" w:hAnsi="宋体"/>
        </w:rPr>
      </w:pPr>
      <w:r>
        <w:rPr>
          <w:rFonts w:ascii="宋体" w:hAnsi="宋体"/>
        </w:rPr>
        <w:t>《调速电气传动系统  第二部分一般要求  低压交流变频电气传动系统定值的规定》GB/T12668.2</w:t>
      </w:r>
    </w:p>
    <w:p>
      <w:pPr>
        <w:spacing w:line="360" w:lineRule="auto"/>
        <w:rPr>
          <w:rFonts w:ascii="宋体" w:hAnsi="宋体"/>
        </w:rPr>
      </w:pPr>
      <w:r>
        <w:rPr>
          <w:rFonts w:ascii="宋体" w:hAnsi="宋体"/>
        </w:rPr>
        <w:t>《低压电器外壳防护等级》GB/T 4942.2</w:t>
      </w:r>
    </w:p>
    <w:p>
      <w:pPr>
        <w:spacing w:line="360" w:lineRule="auto"/>
        <w:rPr>
          <w:rFonts w:ascii="宋体" w:hAnsi="宋体"/>
        </w:rPr>
      </w:pPr>
      <w:r>
        <w:rPr>
          <w:rFonts w:ascii="宋体" w:hAnsi="宋体"/>
        </w:rPr>
        <w:t xml:space="preserve">《低压配电设计规范》GB/T 50054       </w:t>
      </w:r>
    </w:p>
    <w:p>
      <w:pPr>
        <w:spacing w:line="360" w:lineRule="auto"/>
        <w:rPr>
          <w:rFonts w:ascii="宋体" w:hAnsi="宋体"/>
        </w:rPr>
      </w:pPr>
      <w:r>
        <w:rPr>
          <w:rFonts w:ascii="宋体" w:hAnsi="宋体"/>
        </w:rPr>
        <w:t>《热量表》CJ 128</w:t>
      </w:r>
    </w:p>
    <w:p>
      <w:pPr>
        <w:spacing w:line="360" w:lineRule="auto"/>
        <w:rPr>
          <w:rFonts w:ascii="宋体" w:hAnsi="宋体"/>
        </w:rPr>
      </w:pPr>
      <w:r>
        <w:rPr>
          <w:rFonts w:ascii="宋体" w:hAnsi="宋体"/>
        </w:rPr>
        <w:t>国际标准组织ISO</w:t>
      </w:r>
    </w:p>
    <w:p>
      <w:pPr>
        <w:spacing w:line="360" w:lineRule="auto"/>
        <w:rPr>
          <w:rFonts w:ascii="宋体" w:hAnsi="宋体"/>
        </w:rPr>
      </w:pPr>
      <w:r>
        <w:rPr>
          <w:rFonts w:ascii="宋体" w:hAnsi="宋体"/>
        </w:rPr>
        <w:t>日本工业标准JIS</w:t>
      </w:r>
    </w:p>
    <w:p>
      <w:pPr>
        <w:spacing w:line="360" w:lineRule="auto"/>
        <w:rPr>
          <w:rFonts w:ascii="宋体" w:hAnsi="宋体"/>
        </w:rPr>
      </w:pPr>
      <w:r>
        <w:rPr>
          <w:rFonts w:ascii="宋体" w:hAnsi="宋体"/>
        </w:rPr>
        <w:t>美国机械工程师协会ASME</w:t>
      </w:r>
    </w:p>
    <w:p>
      <w:pPr>
        <w:spacing w:line="360" w:lineRule="auto"/>
        <w:rPr>
          <w:rFonts w:ascii="宋体" w:hAnsi="宋体"/>
        </w:rPr>
      </w:pPr>
      <w:r>
        <w:rPr>
          <w:rFonts w:ascii="宋体" w:hAnsi="宋体"/>
        </w:rPr>
        <w:t>国际电气技术委员会IEC</w:t>
      </w:r>
    </w:p>
    <w:p>
      <w:pPr>
        <w:spacing w:line="360" w:lineRule="auto"/>
        <w:rPr>
          <w:rFonts w:ascii="宋体" w:hAnsi="宋体"/>
        </w:rPr>
      </w:pPr>
      <w:r>
        <w:rPr>
          <w:rFonts w:ascii="宋体" w:hAnsi="宋体"/>
        </w:rPr>
        <w:t>美国电气和电子工程协会IEEE</w:t>
      </w:r>
    </w:p>
    <w:p>
      <w:pPr>
        <w:spacing w:line="360" w:lineRule="auto"/>
        <w:rPr>
          <w:rFonts w:ascii="宋体" w:hAnsi="宋体"/>
        </w:rPr>
      </w:pPr>
      <w:r>
        <w:rPr>
          <w:rFonts w:ascii="宋体" w:hAnsi="宋体"/>
        </w:rPr>
        <w:t>美国仪器、仪表协会ISA</w:t>
      </w:r>
    </w:p>
    <w:p>
      <w:pPr>
        <w:spacing w:line="360" w:lineRule="auto"/>
        <w:rPr>
          <w:rFonts w:ascii="宋体" w:hAnsi="宋体"/>
        </w:rPr>
      </w:pPr>
      <w:r>
        <w:rPr>
          <w:rFonts w:ascii="宋体" w:hAnsi="宋体"/>
        </w:rPr>
        <w:t>《自动化仪表工程施工质量验收规范》GB 50131-2007</w:t>
      </w:r>
    </w:p>
    <w:p>
      <w:pPr>
        <w:spacing w:line="360" w:lineRule="auto"/>
        <w:rPr>
          <w:rFonts w:ascii="宋体" w:hAnsi="宋体"/>
        </w:rPr>
      </w:pPr>
      <w:r>
        <w:rPr>
          <w:rFonts w:ascii="宋体" w:hAnsi="宋体"/>
        </w:rPr>
        <w:t xml:space="preserve">《自动化仪表工程施工及验收规范》GB 50093-2002  </w:t>
      </w:r>
    </w:p>
    <w:p>
      <w:pPr>
        <w:spacing w:line="360" w:lineRule="auto"/>
        <w:rPr>
          <w:rFonts w:ascii="宋体" w:hAnsi="宋体"/>
        </w:rPr>
      </w:pPr>
      <w:r>
        <w:rPr>
          <w:rFonts w:ascii="宋体" w:hAnsi="宋体"/>
        </w:rPr>
        <w:t>《电站仪表和控制设备接地导则》 ANSI/IEEE</w:t>
      </w:r>
      <w:r>
        <w:rPr>
          <w:rFonts w:ascii="宋体" w:hAnsi="宋体"/>
        </w:rPr>
        <w:tab/>
      </w:r>
      <w:r>
        <w:rPr>
          <w:rFonts w:ascii="宋体" w:hAnsi="宋体"/>
        </w:rPr>
        <w:tab/>
      </w:r>
      <w:r>
        <w:rPr>
          <w:rFonts w:ascii="宋体" w:hAnsi="宋体"/>
        </w:rPr>
        <w:t>1050</w:t>
      </w:r>
      <w:r>
        <w:rPr>
          <w:rFonts w:ascii="宋体" w:hAnsi="宋体"/>
        </w:rPr>
        <w:tab/>
      </w:r>
    </w:p>
    <w:p>
      <w:pPr>
        <w:spacing w:line="360" w:lineRule="auto"/>
        <w:rPr>
          <w:rFonts w:ascii="宋体" w:hAnsi="宋体"/>
        </w:rPr>
      </w:pPr>
      <w:r>
        <w:rPr>
          <w:rFonts w:ascii="宋体" w:hAnsi="宋体"/>
        </w:rPr>
        <w:t>《可编程仪表的数字接口》ANSI/IEEE</w:t>
      </w:r>
      <w:r>
        <w:rPr>
          <w:rFonts w:ascii="宋体" w:hAnsi="宋体"/>
        </w:rPr>
        <w:tab/>
      </w:r>
      <w:r>
        <w:rPr>
          <w:rFonts w:ascii="宋体" w:hAnsi="宋体"/>
        </w:rPr>
        <w:tab/>
      </w:r>
      <w:r>
        <w:rPr>
          <w:rFonts w:ascii="宋体" w:hAnsi="宋体"/>
        </w:rPr>
        <w:t>488.1</w:t>
      </w:r>
    </w:p>
    <w:p>
      <w:pPr>
        <w:spacing w:line="360" w:lineRule="auto"/>
        <w:rPr>
          <w:rFonts w:ascii="宋体" w:hAnsi="宋体"/>
        </w:rPr>
      </w:pPr>
      <w:r>
        <w:rPr>
          <w:rFonts w:ascii="宋体" w:hAnsi="宋体"/>
        </w:rPr>
        <w:t>《数字处理计算机硬件测试》ISA    RP55.1</w:t>
      </w:r>
      <w:r>
        <w:rPr>
          <w:rFonts w:ascii="宋体" w:hAnsi="宋体"/>
        </w:rPr>
        <w:tab/>
      </w:r>
    </w:p>
    <w:p>
      <w:pPr>
        <w:spacing w:line="360" w:lineRule="auto"/>
        <w:rPr>
          <w:rFonts w:ascii="宋体" w:hAnsi="宋体"/>
        </w:rPr>
      </w:pPr>
      <w:r>
        <w:rPr>
          <w:rFonts w:ascii="宋体" w:hAnsi="宋体"/>
        </w:rPr>
        <w:t>《工业过程电子仪表模拟量信号的兼容性》ANSI/ISA S50.1</w:t>
      </w:r>
      <w:r>
        <w:rPr>
          <w:rFonts w:ascii="宋体" w:hAnsi="宋体"/>
        </w:rPr>
        <w:tab/>
      </w:r>
      <w:r>
        <w:rPr>
          <w:rFonts w:ascii="宋体" w:hAnsi="宋体"/>
        </w:rPr>
        <w:tab/>
      </w:r>
    </w:p>
    <w:p>
      <w:pPr>
        <w:spacing w:line="360" w:lineRule="auto"/>
        <w:rPr>
          <w:rFonts w:ascii="宋体" w:hAnsi="宋体"/>
        </w:rPr>
      </w:pPr>
      <w:r>
        <w:rPr>
          <w:rFonts w:ascii="宋体" w:hAnsi="宋体"/>
        </w:rPr>
        <w:t>《电气和电子设备、测量和控制机相关设备的一般要求》ANSI/ISA S82.01</w:t>
      </w:r>
      <w:r>
        <w:rPr>
          <w:rFonts w:ascii="宋体" w:hAnsi="宋体"/>
        </w:rPr>
        <w:tab/>
      </w:r>
    </w:p>
    <w:p>
      <w:pPr>
        <w:spacing w:line="360" w:lineRule="auto"/>
        <w:rPr>
          <w:rFonts w:ascii="宋体" w:hAnsi="宋体"/>
        </w:rPr>
      </w:pPr>
      <w:r>
        <w:rPr>
          <w:rFonts w:ascii="宋体" w:hAnsi="宋体"/>
        </w:rPr>
        <w:t>《仪表和控制系统的功能图表示法》SAMA</w:t>
      </w:r>
      <w:r>
        <w:rPr>
          <w:rFonts w:ascii="宋体" w:hAnsi="宋体"/>
        </w:rPr>
        <w:tab/>
      </w:r>
      <w:r>
        <w:rPr>
          <w:rFonts w:ascii="宋体" w:hAnsi="宋体"/>
        </w:rPr>
        <w:t>PMC</w:t>
      </w:r>
      <w:r>
        <w:rPr>
          <w:rFonts w:ascii="宋体" w:hAnsi="宋体"/>
        </w:rPr>
        <w:tab/>
      </w:r>
      <w:r>
        <w:rPr>
          <w:rFonts w:ascii="宋体" w:hAnsi="宋体"/>
        </w:rPr>
        <w:t>22.1</w:t>
      </w:r>
      <w:r>
        <w:rPr>
          <w:rFonts w:ascii="宋体" w:hAnsi="宋体"/>
        </w:rPr>
        <w:tab/>
      </w:r>
    </w:p>
    <w:p>
      <w:pPr>
        <w:spacing w:line="360" w:lineRule="auto"/>
        <w:rPr>
          <w:rFonts w:ascii="宋体" w:hAnsi="宋体"/>
        </w:rPr>
      </w:pPr>
      <w:r>
        <w:rPr>
          <w:rFonts w:ascii="宋体" w:hAnsi="宋体"/>
        </w:rPr>
        <w:t>《过程测量和控制仪表试验和评估的一般方法》SAMA</w:t>
      </w:r>
      <w:r>
        <w:rPr>
          <w:rFonts w:ascii="宋体" w:hAnsi="宋体"/>
        </w:rPr>
        <w:tab/>
      </w:r>
      <w:r>
        <w:rPr>
          <w:rFonts w:ascii="宋体" w:hAnsi="宋体"/>
        </w:rPr>
        <w:t>PMC</w:t>
      </w:r>
      <w:r>
        <w:rPr>
          <w:rFonts w:ascii="宋体" w:hAnsi="宋体"/>
        </w:rPr>
        <w:tab/>
      </w:r>
      <w:r>
        <w:rPr>
          <w:rFonts w:ascii="宋体" w:hAnsi="宋体"/>
        </w:rPr>
        <w:t>31.1</w:t>
      </w:r>
      <w:r>
        <w:rPr>
          <w:rFonts w:ascii="宋体" w:hAnsi="宋体"/>
        </w:rPr>
        <w:tab/>
      </w:r>
    </w:p>
    <w:p>
      <w:pPr>
        <w:spacing w:line="360" w:lineRule="auto"/>
        <w:rPr>
          <w:rFonts w:ascii="宋体" w:hAnsi="宋体"/>
        </w:rPr>
      </w:pPr>
      <w:r>
        <w:rPr>
          <w:rFonts w:ascii="宋体" w:hAnsi="宋体"/>
        </w:rPr>
        <w:t>《过程控制仪表的电磁感应特性》SAMA</w:t>
      </w:r>
      <w:r>
        <w:rPr>
          <w:rFonts w:ascii="宋体" w:hAnsi="宋体"/>
        </w:rPr>
        <w:tab/>
      </w:r>
      <w:r>
        <w:rPr>
          <w:rFonts w:ascii="宋体" w:hAnsi="宋体"/>
        </w:rPr>
        <w:t>PMC</w:t>
      </w:r>
      <w:r>
        <w:rPr>
          <w:rFonts w:ascii="宋体" w:hAnsi="宋体"/>
        </w:rPr>
        <w:tab/>
      </w:r>
      <w:r>
        <w:rPr>
          <w:rFonts w:ascii="宋体" w:hAnsi="宋体"/>
        </w:rPr>
        <w:t>33.1</w:t>
      </w:r>
      <w:r>
        <w:rPr>
          <w:rFonts w:ascii="宋体" w:hAnsi="宋体"/>
        </w:rPr>
        <w:tab/>
      </w:r>
    </w:p>
    <w:p>
      <w:pPr>
        <w:spacing w:line="360" w:lineRule="auto"/>
        <w:rPr>
          <w:rFonts w:ascii="宋体" w:hAnsi="宋体"/>
        </w:rPr>
      </w:pPr>
      <w:r>
        <w:rPr>
          <w:rFonts w:ascii="宋体" w:hAnsi="宋体"/>
        </w:rPr>
        <w:t>《控制系统功能图》IEC 60848</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p>
      <w:pPr>
        <w:spacing w:line="360" w:lineRule="auto"/>
        <w:rPr>
          <w:rFonts w:ascii="宋体" w:hAnsi="宋体"/>
        </w:rPr>
      </w:pPr>
      <w:r>
        <w:rPr>
          <w:rFonts w:ascii="宋体" w:hAnsi="宋体"/>
        </w:rPr>
        <w:t>《信息技术设备的安全要求》 IEC 60950</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p>
      <w:pPr>
        <w:spacing w:line="360" w:lineRule="auto"/>
        <w:rPr>
          <w:rFonts w:ascii="宋体" w:hAnsi="宋体"/>
        </w:rPr>
      </w:pPr>
      <w:r>
        <w:rPr>
          <w:rFonts w:ascii="宋体" w:hAnsi="宋体"/>
        </w:rPr>
        <w:t>《工业过程测量和控制设备的电磁兼容性：试验和测量技术》IEC 61000-4-1992（GB/T17626-1998）</w:t>
      </w:r>
    </w:p>
    <w:p>
      <w:pPr>
        <w:spacing w:line="360" w:lineRule="auto"/>
        <w:rPr>
          <w:rFonts w:ascii="宋体" w:hAnsi="宋体"/>
        </w:rPr>
      </w:pPr>
      <w:r>
        <w:rPr>
          <w:rFonts w:ascii="宋体" w:hAnsi="宋体"/>
        </w:rPr>
        <w:t>《可编程控制器编程语言》IEC 61131（GB/T15969-95）</w:t>
      </w:r>
    </w:p>
    <w:p>
      <w:pPr>
        <w:spacing w:line="360" w:lineRule="auto"/>
        <w:rPr>
          <w:rFonts w:ascii="宋体" w:hAnsi="宋体"/>
        </w:rPr>
      </w:pPr>
      <w:r>
        <w:rPr>
          <w:rFonts w:ascii="宋体" w:hAnsi="宋体"/>
        </w:rPr>
        <w:t>《电气/电子/可编程电子设备安全相关系统的功能安全》IEC</w:t>
      </w:r>
      <w:r>
        <w:rPr>
          <w:rFonts w:ascii="宋体" w:hAnsi="宋体"/>
        </w:rPr>
        <w:tab/>
      </w:r>
      <w:r>
        <w:rPr>
          <w:rFonts w:ascii="宋体" w:hAnsi="宋体"/>
        </w:rPr>
        <w:t>61508</w:t>
      </w:r>
    </w:p>
    <w:p>
      <w:pPr>
        <w:spacing w:line="360" w:lineRule="auto"/>
        <w:rPr>
          <w:rFonts w:ascii="宋体" w:hAnsi="宋体"/>
        </w:rPr>
      </w:pPr>
      <w:r>
        <w:rPr>
          <w:rFonts w:ascii="宋体" w:hAnsi="宋体"/>
        </w:rPr>
        <w:t xml:space="preserve">《视频安防监控系统工程设计规范》GB 50395-2007  </w:t>
      </w:r>
    </w:p>
    <w:p>
      <w:pPr>
        <w:spacing w:line="360" w:lineRule="auto"/>
        <w:rPr>
          <w:rFonts w:ascii="宋体" w:hAnsi="宋体"/>
          <w:szCs w:val="21"/>
        </w:rPr>
      </w:pPr>
      <w:r>
        <w:rPr>
          <w:rFonts w:ascii="宋体" w:hAnsi="宋体"/>
          <w:szCs w:val="21"/>
        </w:rPr>
        <w:t>参照有关标准和规范拟定的合同设备，投标方及包括由其他厂家购买来的设备和附件，都应符合该标准和规范的最新版本或其修订本。 投标人提供的产品应满足本标书规定的技术参数和要求。</w:t>
      </w:r>
    </w:p>
    <w:p>
      <w:pPr>
        <w:snapToGrid w:val="0"/>
        <w:spacing w:line="360" w:lineRule="auto"/>
        <w:rPr>
          <w:rFonts w:ascii="宋体" w:hAnsi="宋体"/>
          <w:b/>
          <w:color w:val="000000"/>
          <w:szCs w:val="21"/>
        </w:rPr>
      </w:pPr>
      <w:r>
        <w:rPr>
          <w:rFonts w:ascii="宋体" w:hAnsi="宋体"/>
          <w:b/>
          <w:color w:val="000000"/>
          <w:szCs w:val="21"/>
        </w:rPr>
        <w:t>二、技术要求</w:t>
      </w:r>
    </w:p>
    <w:p>
      <w:pPr>
        <w:snapToGrid w:val="0"/>
        <w:spacing w:line="360" w:lineRule="auto"/>
        <w:rPr>
          <w:rFonts w:ascii="宋体" w:hAnsi="宋体"/>
          <w:color w:val="000000"/>
          <w:szCs w:val="21"/>
        </w:rPr>
      </w:pPr>
      <w:r>
        <w:rPr>
          <w:rFonts w:ascii="宋体" w:hAnsi="宋体"/>
          <w:color w:val="000000"/>
          <w:szCs w:val="21"/>
        </w:rPr>
        <w:t>设备使用环境条件：</w:t>
      </w:r>
    </w:p>
    <w:p>
      <w:pPr>
        <w:snapToGrid w:val="0"/>
        <w:spacing w:line="360" w:lineRule="auto"/>
        <w:rPr>
          <w:rFonts w:ascii="宋体" w:hAnsi="宋体"/>
          <w:color w:val="000000"/>
          <w:szCs w:val="21"/>
        </w:rPr>
      </w:pPr>
      <w:r>
        <w:rPr>
          <w:rFonts w:ascii="宋体" w:hAnsi="宋体"/>
          <w:color w:val="000000"/>
          <w:szCs w:val="21"/>
        </w:rPr>
        <w:t>（1）设备安装位置：热力站室内安装</w:t>
      </w:r>
    </w:p>
    <w:p>
      <w:pPr>
        <w:snapToGrid w:val="0"/>
        <w:spacing w:line="360" w:lineRule="auto"/>
        <w:rPr>
          <w:rFonts w:ascii="宋体" w:hAnsi="宋体"/>
          <w:color w:val="000000"/>
          <w:szCs w:val="21"/>
        </w:rPr>
      </w:pPr>
      <w:r>
        <w:rPr>
          <w:rFonts w:ascii="宋体" w:hAnsi="宋体"/>
          <w:color w:val="000000"/>
          <w:szCs w:val="21"/>
        </w:rPr>
        <w:t>（2）地震烈度：</w:t>
      </w:r>
      <w:r>
        <w:rPr>
          <w:rFonts w:ascii="宋体" w:hAnsi="宋体"/>
          <w:color w:val="000000"/>
          <w:szCs w:val="21"/>
        </w:rPr>
        <w:tab/>
      </w:r>
      <w:r>
        <w:rPr>
          <w:rFonts w:ascii="宋体" w:hAnsi="宋体"/>
          <w:color w:val="000000"/>
          <w:szCs w:val="21"/>
        </w:rPr>
        <w:t xml:space="preserve">  7度</w:t>
      </w:r>
    </w:p>
    <w:p>
      <w:pPr>
        <w:snapToGrid w:val="0"/>
        <w:spacing w:line="360" w:lineRule="auto"/>
        <w:rPr>
          <w:rFonts w:ascii="宋体" w:hAnsi="宋体"/>
          <w:color w:val="000000"/>
          <w:szCs w:val="21"/>
        </w:rPr>
      </w:pPr>
      <w:r>
        <w:rPr>
          <w:rFonts w:ascii="宋体" w:hAnsi="宋体"/>
          <w:color w:val="000000"/>
          <w:szCs w:val="21"/>
        </w:rPr>
        <w:t>（3）最高气温：           45</w:t>
      </w:r>
      <w:r>
        <w:rPr>
          <w:rFonts w:ascii="Symbol" w:hAnsi="Symbol" w:eastAsia="Symbol" w:cs="Symbol"/>
          <w:color w:val="000000"/>
          <w:szCs w:val="21"/>
        </w:rPr>
        <w:t></w:t>
      </w:r>
      <w:r>
        <w:rPr>
          <w:rFonts w:ascii="宋体" w:hAnsi="宋体"/>
          <w:color w:val="000000"/>
          <w:szCs w:val="21"/>
        </w:rPr>
        <w:t>C</w:t>
      </w:r>
    </w:p>
    <w:p>
      <w:pPr>
        <w:snapToGrid w:val="0"/>
        <w:spacing w:line="360" w:lineRule="auto"/>
        <w:rPr>
          <w:rFonts w:ascii="宋体" w:hAnsi="宋体"/>
          <w:color w:val="000000"/>
          <w:szCs w:val="21"/>
        </w:rPr>
      </w:pPr>
      <w:r>
        <w:rPr>
          <w:rFonts w:ascii="宋体" w:hAnsi="宋体"/>
          <w:color w:val="000000"/>
          <w:szCs w:val="21"/>
        </w:rPr>
        <w:t>（4）最低气温：           5</w:t>
      </w:r>
      <w:r>
        <w:rPr>
          <w:rFonts w:ascii="Symbol" w:hAnsi="Symbol" w:eastAsia="Symbol" w:cs="Symbol"/>
          <w:color w:val="000000"/>
          <w:szCs w:val="21"/>
        </w:rPr>
        <w:t></w:t>
      </w:r>
      <w:r>
        <w:rPr>
          <w:rFonts w:ascii="宋体" w:hAnsi="宋体"/>
          <w:color w:val="000000"/>
          <w:szCs w:val="21"/>
        </w:rPr>
        <w:t>C</w:t>
      </w:r>
    </w:p>
    <w:p>
      <w:pPr>
        <w:snapToGrid w:val="0"/>
        <w:spacing w:line="360" w:lineRule="auto"/>
        <w:rPr>
          <w:rFonts w:ascii="宋体" w:hAnsi="宋体"/>
          <w:color w:val="000000"/>
          <w:szCs w:val="21"/>
        </w:rPr>
      </w:pPr>
      <w:r>
        <w:rPr>
          <w:rFonts w:ascii="宋体" w:hAnsi="宋体"/>
          <w:color w:val="000000"/>
          <w:szCs w:val="21"/>
        </w:rPr>
        <w:t>（5）最大相对湿度：       90%</w:t>
      </w:r>
    </w:p>
    <w:p>
      <w:pPr>
        <w:snapToGrid w:val="0"/>
        <w:spacing w:line="360" w:lineRule="auto"/>
        <w:rPr>
          <w:rFonts w:ascii="宋体" w:hAnsi="宋体"/>
          <w:color w:val="000000"/>
          <w:szCs w:val="21"/>
        </w:rPr>
      </w:pPr>
      <w:r>
        <w:rPr>
          <w:rFonts w:ascii="宋体" w:hAnsi="宋体"/>
          <w:color w:val="000000"/>
          <w:szCs w:val="21"/>
        </w:rPr>
        <w:t>（6）最小相对湿度：       10%</w:t>
      </w:r>
    </w:p>
    <w:p>
      <w:pPr>
        <w:snapToGrid w:val="0"/>
        <w:spacing w:line="360" w:lineRule="auto"/>
        <w:rPr>
          <w:rFonts w:ascii="宋体" w:hAnsi="宋体"/>
          <w:b/>
          <w:color w:val="000000"/>
          <w:szCs w:val="21"/>
        </w:rPr>
      </w:pPr>
      <w:r>
        <w:rPr>
          <w:rFonts w:hint="eastAsia" w:ascii="宋体" w:hAnsi="宋体"/>
          <w:b/>
          <w:color w:val="000000"/>
          <w:szCs w:val="21"/>
          <w:lang w:val="en-US" w:eastAsia="zh-CN"/>
        </w:rPr>
        <w:t>三、</w:t>
      </w:r>
      <w:r>
        <w:rPr>
          <w:rFonts w:ascii="宋体" w:hAnsi="宋体"/>
          <w:b/>
          <w:color w:val="000000"/>
          <w:szCs w:val="21"/>
        </w:rPr>
        <w:t>技术规范要求</w:t>
      </w:r>
    </w:p>
    <w:p>
      <w:pPr>
        <w:spacing w:line="360" w:lineRule="auto"/>
        <w:rPr>
          <w:rFonts w:ascii="宋体" w:hAnsi="宋体" w:eastAsia="宋体"/>
          <w:szCs w:val="21"/>
        </w:rPr>
      </w:pPr>
      <w:r>
        <w:rPr>
          <w:rFonts w:hint="eastAsia" w:ascii="宋体" w:hAnsi="宋体" w:eastAsia="宋体"/>
          <w:szCs w:val="21"/>
          <w:lang w:val="en-US" w:eastAsia="zh-CN"/>
        </w:rPr>
        <w:t>3</w:t>
      </w:r>
      <w:r>
        <w:rPr>
          <w:rFonts w:ascii="宋体" w:hAnsi="宋体" w:eastAsia="宋体"/>
          <w:szCs w:val="21"/>
        </w:rPr>
        <w:t>.</w:t>
      </w:r>
      <w:r>
        <w:rPr>
          <w:rFonts w:hint="eastAsia" w:ascii="宋体" w:hAnsi="宋体" w:eastAsia="宋体"/>
          <w:szCs w:val="21"/>
        </w:rPr>
        <w:t>1</w:t>
      </w:r>
      <w:r>
        <w:rPr>
          <w:rFonts w:ascii="宋体" w:hAnsi="宋体" w:eastAsia="宋体"/>
          <w:szCs w:val="21"/>
        </w:rPr>
        <w:t>检测内容</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◇一次侧供水温度</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一次侧供水压力（过滤器前后）</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一次测回水温度</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一次侧回水压力</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◇一次侧热量（瞬时及累计）</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二次侧供水温度</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◇二次侧供水压力</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二次侧回水温度</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二次侧回水压力（过滤器前后）</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二次回水流量（瞬时及累计）</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软水箱水位</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软水箱水位控制（与水泵连锁保护）</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补水流量（瞬时及累积流量，通讯方式）</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 电调阀开度反馈</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循环泵变频器控制及电机状态</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补水泵变频器控制及电机状态</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热力站用电量</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投标方应根据上述内容提供使用于热力站的测控仪表、控制器、通讯设备。当然，还包括相关的配套设施、测控和通讯的实现。</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3.2主要功能要求</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（1）温度控制</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根据热力站自动控制策略和全网热网控制指令自动调节二次侧供水温度，控制模式包括气候补偿或经验直接设定两种，具体控制参数类型包括：</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1）二次网供水温度控制策略：直接固定二次网供水温度法/二次网供水温度气候补偿曲线</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2）二次网供回水平均温度控制策略：固定二次网供回水平均温度经验法/二次网供回水平均温度气候补偿曲线（二次网的供回水平均温度与室外气温公式法）</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（2）电调阀控制</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电调阀可进行手动、自动切换，可进行设置开度。</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（3）压力控制</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二次供回水压差调节控制回路</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通过控制变频循环水泵转速，实现二次供回水压差恒定的自动控制，变频控制，采用PID实现。变频器最小转速为额定转速的20%(10Hz)，控制偏差应达到 (±0.01MPa)。</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根据设定的二次网供回水压差设定值自动/手动调节变频循环泵的转速，将压差值稳定在要求范围内；压差过低时，为了安全起见系统自动关闭一次网电动调节阀或变频泵。</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可显示二次网供回水压差设定值、实际压差值、循环泵频率反馈值。</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可在本地和数据监控中心修改二次网供回水压差设定值，修改PID参数值。</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二次回水定压控制系统</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在供热系统中，回水管的压力水头都应该高于用户系统的充水高度，以防止系统倒吸入空气，破坏正常运行和腐蚀管道。因此维持恒压点压力恒定是供热系统正常运行的基本前提。这是采用补水泵补水维持二次回水压力来实现的，即通过控制变频器来控制补水泵的转速，从而改变系统的补水量，维持供水系统的恒压点压力恒定。根据设定的二次网回水压力设定值自动/手动调节变频补水泵的转速，将压力值稳定在要求范围内。</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当补水量很小时，补水泵运行频率低于睡眠设定值并延时适当时间，补水泵进入睡眠状态停止运转，而当二次网回水压力比定压设定值低0.02MPa（回水压力低偏差设定值）时,水泵结束睡眠状态重新进行运转。</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可在人机界面上显示回水压力设定值、实际回水压力值、补水泵频率反馈值。能在本地和数据监控中心修改回水压力设定值，回水压力低偏差设定值、睡眠定值和延时时间，修改PID参数值。</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电磁阀泄压控制</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为保证防止二次网系统压力过高，当二次侧回水压力高于定压值0.03MPa（可修改设定）经延时后，电磁阀得电开启泄压，当压力泄至低于定压值0.01MPa（可修改设定）时，电磁阀失电关闭。电磁阀泄压控制具有手自动切换功能。能在本地和热网监控中心进行控制，并能够修改电磁阀开启和停止时的压力值。</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（4）补水箱液位控制</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要求根据液位传感器的测量值，当水箱液位低于低限值时，安装于自来水供热管上的补水电磁阀/电动球阀自动开启，当液位到达高高限时补水电磁阀自动关闭，从而实现补水箱自动上水功能。</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（5）故障报警及保护措施</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故障报警功能：故障报警分为数据报警和事件报警，数据报警多为数据参数异常，一般是模拟量，如：温度、压力值达高限、低限等；事件报警一般是数字量，如水泵停，系统停电等，系统将自动上传报警信息，同时在现场的液晶的报警信息栏显示报警信息。控制器还输出一个报警接点，用于控制带蜂鸣的报警指示灯。</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（2）故障保护功能：对于系统中的主要运行数据参数均可设定保护限值，有连锁要求的达到保护限值后自动连锁保护，并向上位机发出报警功能。每个连锁保护功能均可单独选择功能启用或停用。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a)失压保护：二级网回水压力低于超低限设定值时，自动停止二级管网循环泵运行，并关闭一级管网分布泵，自动补水系统投入运行，开始补水。待压力恢复到设定值后方可启动二级管网循环泵。若自动补水系统投入运行后二级侧回水压力仍继续降低即发出报警并上传监控中心。</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b)超压保护：二级供水压力超过设定超高限值（操作面板可调设定值）循环泵停止运行并关闭一级网分布泵、二级循环水泵、补水泵。</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c)断电保护及来电自启动：现场配备UPS当停电后，远程终端站自动关闭一级网分泵泵（分布泵可设定最低频率），切断热源，来电后控制器工作，自检后设备按顺序启动。并使各种设定参数和运行状态参数保持原断电前设置。</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d)水箱液位报警保护：水箱内放置静压式液位计用以监测水箱液位，当液位低于设定停泵水位限值时停止补水泵运转并发出报警信号。</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e) 超温保护：当二级供水温度超过设定的超高限值时，系统将自动停止运行。关闭一级网分布泵，停止二级管网循环泵，停止补水泵，同时向上位机报警。</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f) 连锁功能：不管任何情况导致二级管网循环泵停止时，一级网分布泵和二级网循环泵均可选择性设置（连锁关闭，或关闭至二级循环泵设定最低频率值等）。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（6）电表、水表采集</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控制器应可以与多种电表、水表等智能仪表进行MODBUS协议的通信，包括电压、电流、频率、电度、功率因数等信息均可以在触摸屏显示，并且将数据传输到智能热网监控中心平台，进行水耗、电耗的统计分析，形成日报、月报表，分析能耗情况用以考核分析。</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如果热力站安装的电表、水表等仪表不具备数据传输功能，自控设备人机界面需要具备人工输入水表、电表计量值的功能，且将数据可以远程传输到智能热网监控中心平台。</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（7）巡检功能</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为了实现无人值守热力站的管理，有效管理巡站人员的巡站时间，要求在热力站节能控制装置设有巡检签到功能，巡站人员在控制装置输入员工编号，即可将巡站信息、巡站时间传输到中心监控平台，有效地管理巡站人员。</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（8）数据存储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当通讯网络由于外界客观原因暂时中断时，测控系统具有数据暂存功能，能够每隔1分钟存储一次测量数据并至存储至少48小时的数据，当通讯网络恢复时，能自动通过网络上传或通过存储介质上传。</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3.3设备性能要求</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集中供热节能控制装置应获得国家3C认证，通过省级及以上具备相关资质检测部门的检测，具有抗干扰、电磁兼容等性能符合要求，防护等级达到IP65或以上。</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集中供热节能控制装置具有采集并上传以下运行数据的功能：室外温度、一次网供回水温度、二次网供回水温度、一次网供回水压力（含滤后压力）、二次网供回水压力（含滤后压力）、分布泵运行状态、循环水泵运行状态、补水泵运行状态、水泵故障、变频器频率、电流、水箱液位、泄压阀状态、换热站电量、水量、热量、故障指示等。并且实现温度控制、压力控制、流量控制、热量控制、报警功能、液位自动控制、联锁控制、开机自检功能、失压保护功能、断电保护功能、通讯功能、数据存储、自诊断自恢复功能、日历、时钟功能、掉电保护功能、控制调节等功能，具备巡检签到功能，实现换热站无人值守运行。</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（1）PLC控制器及IO模块</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PLC控制器及I/O模块采用国际知名品牌，选用西门子S7-1200系列产品。</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1）采用模块化硬件结构，机架安装。硬件结构能保证系统任意和灵活的扩展；通过I/O通道，输入数字量和模拟量、模拟输出和数字输出和现场仪表相连，I/O数可以通过扩展模块来满足工程的要求。</w:t>
      </w:r>
    </w:p>
    <w:p>
      <w:pPr>
        <w:spacing w:line="360" w:lineRule="auto"/>
        <w:rPr>
          <w:rFonts w:hint="eastAsia" w:ascii="宋体" w:hAnsi="宋体" w:eastAsia="宋体"/>
          <w:szCs w:val="21"/>
          <w:lang w:val="en-GB" w:eastAsia="zh-CN"/>
        </w:rPr>
      </w:pPr>
      <w:r>
        <w:rPr>
          <w:rFonts w:hint="eastAsia" w:ascii="宋体" w:hAnsi="宋体" w:eastAsia="宋体"/>
          <w:szCs w:val="21"/>
          <w:lang w:val="en-US" w:eastAsia="zh-CN"/>
        </w:rPr>
        <w:t>2</w:t>
      </w:r>
      <w:r>
        <w:rPr>
          <w:rFonts w:hint="eastAsia" w:ascii="宋体" w:hAnsi="宋体" w:eastAsia="宋体"/>
          <w:szCs w:val="21"/>
          <w:lang w:val="en-GB" w:eastAsia="zh-CN"/>
        </w:rPr>
        <w:t>）应用程序宜用热力站专用功能模块开发，程序可以通过以太网通信接口和网络下载到控制器。调试工具可用于调试，使控制器的操作、监控和设置文档变得容易。</w:t>
      </w:r>
    </w:p>
    <w:p>
      <w:pPr>
        <w:spacing w:line="360" w:lineRule="auto"/>
        <w:rPr>
          <w:rFonts w:hint="eastAsia" w:ascii="宋体" w:hAnsi="宋体" w:eastAsia="宋体"/>
          <w:szCs w:val="21"/>
          <w:lang w:val="en-GB" w:eastAsia="zh-CN"/>
        </w:rPr>
      </w:pPr>
      <w:r>
        <w:rPr>
          <w:rFonts w:hint="eastAsia" w:ascii="宋体" w:hAnsi="宋体" w:eastAsia="宋体"/>
          <w:szCs w:val="21"/>
          <w:lang w:val="en-US" w:eastAsia="zh-CN"/>
        </w:rPr>
        <w:t>2</w:t>
      </w:r>
      <w:r>
        <w:rPr>
          <w:rFonts w:hint="eastAsia" w:ascii="宋体" w:hAnsi="宋体" w:eastAsia="宋体"/>
          <w:szCs w:val="21"/>
          <w:lang w:val="en-GB" w:eastAsia="zh-CN"/>
        </w:rPr>
        <w:t>）控制器配置通讯组件，可以通过ADSL、GPRS等多种网络实现与监控中心的通讯。</w:t>
      </w:r>
    </w:p>
    <w:p>
      <w:pPr>
        <w:spacing w:line="360" w:lineRule="auto"/>
        <w:rPr>
          <w:rFonts w:hint="eastAsia" w:ascii="宋体" w:hAnsi="宋体" w:eastAsia="宋体"/>
          <w:szCs w:val="21"/>
          <w:lang w:val="en-GB" w:eastAsia="zh-CN"/>
        </w:rPr>
      </w:pPr>
      <w:r>
        <w:rPr>
          <w:rFonts w:hint="eastAsia" w:ascii="宋体" w:hAnsi="宋体" w:eastAsia="宋体"/>
          <w:szCs w:val="21"/>
          <w:lang w:val="en-US" w:eastAsia="zh-CN"/>
        </w:rPr>
        <w:t>4</w:t>
      </w:r>
      <w:r>
        <w:rPr>
          <w:rFonts w:hint="eastAsia" w:ascii="宋体" w:hAnsi="宋体" w:eastAsia="宋体"/>
          <w:szCs w:val="21"/>
          <w:lang w:val="en-GB" w:eastAsia="zh-CN"/>
        </w:rPr>
        <w:t>）控制器可以通过人机界面现场操作，中文屏幕显示，尺寸不小于10"，数据上传，热力站</w:t>
      </w:r>
      <w:r>
        <w:rPr>
          <w:rFonts w:hint="eastAsia" w:ascii="宋体" w:hAnsi="宋体" w:eastAsia="宋体"/>
          <w:szCs w:val="21"/>
          <w:lang w:val="en-US" w:eastAsia="zh-CN"/>
        </w:rPr>
        <w:t>实现</w:t>
      </w:r>
      <w:r>
        <w:rPr>
          <w:rFonts w:hint="eastAsia" w:ascii="宋体" w:hAnsi="宋体" w:eastAsia="宋体"/>
          <w:szCs w:val="21"/>
          <w:lang w:val="en-GB" w:eastAsia="zh-CN"/>
        </w:rPr>
        <w:t>无人值守。</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主要性能参数：</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CPU特征</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用户存储器： 100 KB 工作存储器/4 MB 负载存储器，可用 SD 卡扩展/10 KB 保持性存储器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板载数字 I/O： 14 点输入/10 点输出</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板载模拟 I/O： 2 点输入/2 点输出</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过程映像大小： 1024 字节输入（I）/1024 字节输出（Q）</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位存储器（M）： 8192 个字节</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临时（局部）存储器：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16 KB 用于启动和程序循环（包括相关的 FB 和 FC）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 KB 用于标准中断事件（包括 FB 和 FC）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 KB 用于错误中断事件（包括 FB 和 FC）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信号模块扩展： 最多 8 个信号模块</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信号板扩展： 最多 1 块信号板</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通信模块扩展： 最多 3 个通信模块</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高速计数器：共 6 个</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单相：3 个 100 kHz 以及 3 个 30 kHz 的时钟频率；正交相位：3 个 80 kHz 以及 3 个 20 kHz 的时钟频率</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脉冲输出： 本体 2 路且 CPU 为晶体管输出，可通过信号板另外扩展 2 路</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脉冲捕捉输入： 14</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延时中断/循环中断：共 4 个，精度为 1 ms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沿中断： 12 个上升沿和 12 个下降沿（使用可选信号板时，各为 14 个）</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存储卡： SIMATIC 存储卡（选件）</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实时时钟精度： +/- 60 秒/月</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实时时钟保持时间： 通常为 20 天，40 ºC 时最少为 12 天（免维护超级电容）</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性能</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布尔运算执行速度： 0.08μs/指令</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移动字执行速度： 1.7μs/指令</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实数数学运算执行速度： 2.3μs/指令</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通信</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端口数： 2</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类型： 以太网</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连接数：</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3 个用于 HMI</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1 个用于编程设备</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8 个用于用户程序中的以太网指令</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3 个用于 CPU 对 CPU</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数据传输率： 10/100 Mb/s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隔离（外部信号与 PLC 逻辑侧）： 变压器隔离，1500 V 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电缆类型： CAT5e 屏蔽电缆</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电源</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电压范围：20.4 － 28.8 V DC/22.0 － 28.8 V DC（环境温度 -20 ºC － 0 ºC）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线路频率：47 － 63 Hz</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输入电流：24 V DC 时 1500 mA</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保持时间（掉电）：24 V DC 时 10 ms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数字输入</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输入点数：14</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类型 ：漏型/源型（IEC 1 类漏型）</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额定电压： 4 mA 时 24 V DC，额定值</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允许的连续电压： 最大 30 V 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浪涌电压： 35 V DC，持续 0.5 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模拟输入</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输入路数： 2</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类型： 电压（单侧）</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范围： 0 － 10 V</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上溢范围：11.760 － 11.852 V</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精度： 10 位</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最大耐压： 35 V 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阻抗 ≥100 KΩ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精度（25 ºC/0 － 55 ºC）： 满量程的 3.0 %/3.5 %</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数字输出</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输出点数： 10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类型： 继电器，干触点</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电压范围 ：5 － 30 V DC 或 5 － 250 V AC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xml:space="preserve">电流（最大）： 2.0 A </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灯负载： 30 W DC/200 W AC 5 W</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通态电阻 ：新设备最大为 0.2 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浪涌电流： 触点闭合时为 7 A</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热力站监控I/O点</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每台机组的控制点：AI:34点、AO:10点、DI:24点、DO:16点、RS485:2点、DO输出模块加装隔离器，详见招标图纸。</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（2）人机界面</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高亮度TFT液晶显示屏（分辨率1024×600），2个串行接口、1个网络接口，支持Modbus协议转发。</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液晶屏：10.2″</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背光灯：LED</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显示颜色：65535真彩</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分辨率：1024*600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显示亮度：200cd/m²</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触摸屏：电阻式</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输入电压：24±20%VDC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额定功率：5.5W</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处理器：Cortex-A8,600MHZ</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内存：128M</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系统存储：128M</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铁电存储：可扩展</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SD卡：可扩展</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组态软件：MCGS嵌入版</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串行接口：COM1（RS232），COM2（RS485），COM3、COM4可扩展</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USB: 一主一从</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以太网口：10/100M自适应</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CAN接口： 可扩展</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存储温度：-10Cº~60 Cº</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工作温度：0 Cº~45 Cº</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工作湿度：5%~90%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机壳材料：工业塑料</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面板尺寸：274×193（mm）</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机柜开孔：261×180（mm）</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产品认证：CE/FCC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防护等级：IP65（前面板）</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电磁兼容：工业三级</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（3）控制柜柜体</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1）采用冷弯型钢局部焊接组装而成的构架，构架零件及专用配套零件均由型钢制成，以保证柜体的精度和质量。</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2）柜门用转轴式活动铰链与构架相连，安装、拆卸方便。门的折边处均嵌有一根山型橡塑条，以防止门与柜体直接碰撞，提高门的防护等级。</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3）柜内的安装件与构架用滚花螺钉连接，整柜构成完整的接地保护电路。</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4）控制柜柜体由投标方设计，采用壁挂柜形式，壁挂柜体尺寸为：1000*750*200。柜内安装附件包含在投标报价中。</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5）柜体防护等级不低于IP65。</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6）柜体要做好表面处理，面漆采用静电喷漆工艺，色调避免眩目效应，具体色彩在投标书中说明。</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7）触摸屏安装高度为距地1.5m±0.1米。</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（4）一体化温度变送器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输出信号：      4-20mA</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热电阻：        Pt100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精度等级：      ≤0.5级</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压力等级：      PN16</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测温范围：      -10～150℃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元件支数：      单支</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显示方式：      就地液晶显示</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保护管：        不锈钢316材质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插入深度：      L/l=300/150mm；L/l=250/100mm</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（5）一体化压力变送器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工作电压：      直流18V～33V</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输出信号：      二线制4～20mA(DC)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最大允许压力：  2倍量程（FS）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破坏压力：      3倍量程（FS）</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压力等级：      PN16</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 xml:space="preserve">量程：          0~1.6MPa </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介质温度：      0～150℃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工作环境温度：  -40～80℃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工作环境湿度：  &lt;100% r.h.</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精度：          ≤0.5级</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温度偏移：      TC 零点 &lt; +0.04 % FS/K,TC灵敏度&lt; +0.015 % FS/K</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响应时间：      &lt;5 mS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稳定性：       12个月漂移量小于URL的±0.1％</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防护等级：     IP65</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显示方式：     就地液晶显示</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安装方式：     直接安装在管道上</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（6）液位计</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供电电源：     12～36V 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输出信号：     4～20 mA</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量程范围：     0～3 m</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测量精度：     +0.2% FS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负载特性：     250～1425 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过载能力：     2倍量程（FS）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工作温度：     -10～80℃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防护等级：     IP68</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采样频率：     ≤2ms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长期稳定性：   ≤0.1 F•S/年</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温度漂移：     +0.01% FS/℃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安装方式：     投入式，两线制</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（7）超声波热量表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包括超声波流量计、配对温度传感器及积算仪等整套设备</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技术要求：     双电源供电，支持MODBUS RTU协议，采用双声道或多声道超声波传感器。具备RS485、RS232标准接口。</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电源：         220V（AC）50Hz， 24V（DC）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防护等级：     不低于IP65</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最大压力损失： ≤0.01PMa</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总体精度：     EN1434标准 2级</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流体温度：     5～150℃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环境温度：     0～50℃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耐压：        ≥2.5MPa</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xml:space="preserve">热量计带供回水配对温度传感器（Pt500或Pt1000），具有最少7位的液晶显示，能显示和存储，包括热量、累计热量，流量和累计流量、供水温度、回水温度、温差及运行小时数等参数。 </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（8）远传水表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支持RS-485RS通讯接口，MODBUS RTU协议，采用采用全流量检测，螺翼型。</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干式磁传结构，保证计数器整洁，显示清晰。</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采用可拆式机芯结构，方便进行安装和维修，便于维护。</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高耐磨性轴承系统确保产品的长期稳定性和可靠性</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无蜗杆齿轮传动机构，叶轮直接驱动计数器，耐久性能强。</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内置一体式可拆卸不锈钢滤网，适用于中国的水质环境。</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电源：         24V（DC）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防护等级：     IP65或以上</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总体精度：     EN1434标准 2级</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工作温度：    冷水： 30℃ 或 50℃ ，可选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环境温度：     0～50℃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外壳耐压：     1.6MPa</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（9）电动调节阀及执行器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阀体</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阀体耐温:      ≥130℃（介质为高温水）</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泄漏率：       直通≤0.01％Kvs；旁通≤0.5～2% Kvs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工程压力：     1.6MPa</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最大关闭压差： ΔPmax：≥1.6MPa。（介质实际压差超过此关闭压差，应安装自力式差压控制器）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阀体材料：     球墨铸铁</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阀塞：         不锈钢</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阀杆：         不锈钢</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阀座：         不锈钢</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密封材料：     阀塞与阀座间主要为不锈钢硬密封。</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连接方式：     法兰</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以上电动调节阀的材质为最低要求，阀门流通能力Kv及口径选择必须满足工艺流量的要求，并提供阀门Kv计算书，阀门的正常开度要求20-100%。</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电动执行器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功能要求：      有阀位反馈，行程校验，具有弹簧复位功能，带手动调节和位置指示,有强制控制功能</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工作电压：      24V（AC）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控制信号：      4～20mA或0～10V（DC）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反馈信号：      4～20mA或0～10V（DC）</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调节力量：      ≥1000 N</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弹簧复位时间：  &lt;25 S</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标准行程：      30 mm</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流量特性：      线性/等比例 可选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信号输出特点：  电压  DC 0～9.8 V  +2%,负荷阻抗 &gt;500Ω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xml:space="preserve">                电流  DC 4～19.6mA +2%,负荷阻抗 &lt;500Ω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工作环境：      温度 -15～50 ℃，湿度5～95% rh</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防护等级：      IP65</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电磁兼容性：    辐射干扰61000-6-3 住宅</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xml:space="preserve">                免疫性干扰61000-6-3 工业</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（10）视频监控系统</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热力站视频监控系统由摄像机、硬盘录像机及本地存储硬盘组成，应至少存储1个月以上的本地视频，便于调阅和追溯。</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摄像机：</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性能参数：</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红外功能： 高效红外阵列，低功耗，照射距离不小于40m，恒流电路设计，红外灯寿命不小于2.5万小时。</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视频功能： 采用高性能CCD，图像清晰；支持自动光圈、自动聚焦、自动白平衡、背光补偿、数字宽动态和低照度(彩色/黑白)自动/手动转换功能。</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云台功能： 精密电机驱动，反应灵敏，运转平稳，精度偏差少于0.1度，在任何速度下图像无抖动。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断电记忆功能：重新上电后自动回到断电前的云台和镜头状态。</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保护功能： 支持防雷、防浪涌、防突波功能。</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网络功能： 支持以太网控制，同时支持模拟接入；支持1路音频输入和1路音频输出； 可通过IE浏览器和客户端软件观看图像并实现控制。</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报警功能： 内置2路报警输入和2路报警输出，支持报警联动。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防护等级： IP66</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（11）电磁阀</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xml:space="preserve">工作压差:     1.0MPa  </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xml:space="preserve">常闭电开型 </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xml:space="preserve">公称压力        PN16 </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 xml:space="preserve">防护等级:       IP65 </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输入电压:       AC220V ,50Hz</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超声波流量计</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 xml:space="preserve">输出:RS485 </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 xml:space="preserve">双声道 液晶显示 </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 xml:space="preserve">支持MODBUS  RTU协议 </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 xml:space="preserve">防护等级:IP65 </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耐压≥2.5MPa</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 xml:space="preserve">测量温度:5~150℃ </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 xml:space="preserve">工作电源: 双电源供电,外接DC24V及锂电池 </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 xml:space="preserve">精度等级:≤0.5级 </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（12）其他设备</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大屏幕系统、移动显示设备等其他设备应满足图纸设计要求。</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3.4施工规范要求</w:t>
      </w:r>
    </w:p>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3.4.1</w:t>
      </w:r>
      <w:r>
        <w:rPr>
          <w:rFonts w:hint="eastAsia" w:ascii="宋体" w:hAnsi="宋体"/>
          <w:szCs w:val="21"/>
          <w:lang w:val="en-US" w:eastAsia="zh-CN"/>
        </w:rPr>
        <w:t>安装</w:t>
      </w:r>
      <w:r>
        <w:rPr>
          <w:rFonts w:hint="default" w:ascii="宋体" w:hAnsi="宋体" w:eastAsia="宋体"/>
          <w:szCs w:val="21"/>
          <w:lang w:val="en-US" w:eastAsia="zh-CN"/>
        </w:rPr>
        <w:t>范围</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（1）热力站所有控制设备的设计、安装</w:t>
      </w:r>
      <w:r>
        <w:rPr>
          <w:rFonts w:hint="eastAsia" w:ascii="宋体" w:hAnsi="宋体" w:eastAsia="宋体"/>
          <w:szCs w:val="21"/>
          <w:lang w:val="en-US" w:eastAsia="zh-CN"/>
        </w:rPr>
        <w:t>、</w:t>
      </w:r>
      <w:r>
        <w:rPr>
          <w:rFonts w:hint="default" w:ascii="宋体" w:hAnsi="宋体" w:eastAsia="宋体"/>
          <w:szCs w:val="21"/>
          <w:lang w:val="en-US" w:eastAsia="zh-CN"/>
        </w:rPr>
        <w:t>调试</w:t>
      </w:r>
      <w:r>
        <w:rPr>
          <w:rFonts w:hint="eastAsia" w:ascii="宋体" w:hAnsi="宋体" w:eastAsia="宋体"/>
          <w:szCs w:val="21"/>
          <w:lang w:val="en-US" w:eastAsia="zh-CN"/>
        </w:rPr>
        <w:t>及</w:t>
      </w:r>
      <w:r>
        <w:rPr>
          <w:rFonts w:hint="default" w:ascii="宋体" w:hAnsi="宋体" w:eastAsia="宋体"/>
          <w:szCs w:val="21"/>
          <w:lang w:val="en-US" w:eastAsia="zh-CN"/>
        </w:rPr>
        <w:t>电缆与桥架敷设</w:t>
      </w:r>
      <w:r>
        <w:rPr>
          <w:rFonts w:hint="eastAsia" w:ascii="宋体" w:hAnsi="宋体" w:eastAsia="宋体"/>
          <w:szCs w:val="21"/>
          <w:lang w:val="en-US" w:eastAsia="zh-CN"/>
        </w:rPr>
        <w:t>，</w:t>
      </w:r>
      <w:r>
        <w:rPr>
          <w:rFonts w:hint="default" w:ascii="宋体" w:hAnsi="宋体" w:eastAsia="宋体"/>
          <w:szCs w:val="21"/>
          <w:lang w:val="en-US" w:eastAsia="zh-CN"/>
        </w:rPr>
        <w:t>负责与</w:t>
      </w:r>
      <w:r>
        <w:rPr>
          <w:rFonts w:hint="eastAsia" w:ascii="宋体" w:hAnsi="宋体" w:eastAsia="宋体"/>
          <w:szCs w:val="21"/>
          <w:lang w:val="en-US" w:eastAsia="zh-CN"/>
        </w:rPr>
        <w:t>石家庄供热集团</w:t>
      </w:r>
      <w:r>
        <w:rPr>
          <w:rFonts w:hint="default" w:ascii="宋体" w:hAnsi="宋体" w:eastAsia="宋体"/>
          <w:szCs w:val="21"/>
          <w:lang w:val="en-US" w:eastAsia="zh-CN"/>
        </w:rPr>
        <w:t>已有控制中心系统进行对接调试，对SCADA系统的中心平台功能、远程终端站功能、通讯功能进行整体热测试，保证本技术规范要求的所有功能的实现。（产生的费用由投标方承担）</w:t>
      </w:r>
    </w:p>
    <w:p>
      <w:pPr>
        <w:spacing w:line="360" w:lineRule="auto"/>
        <w:rPr>
          <w:rFonts w:hint="default" w:ascii="宋体" w:hAnsi="宋体" w:eastAsia="宋体"/>
          <w:szCs w:val="21"/>
          <w:lang w:val="en-US" w:eastAsia="zh-CN"/>
        </w:rPr>
      </w:pPr>
      <w:r>
        <w:rPr>
          <w:rFonts w:hint="default" w:ascii="宋体" w:hAnsi="宋体" w:eastAsia="宋体"/>
          <w:szCs w:val="21"/>
          <w:lang w:val="en-US" w:eastAsia="zh-CN"/>
        </w:rPr>
        <w:t>（2）热力站所有盘柜安装与调试；仪表取压点、检测点、热量表、流量计、温度计、水表、控制阀门等现场仪器仪表的安装，位置及电缆桥架的敷设走向详见设计院施工图。主要涵盖：设备和工艺管道上取源部件的开孔及安装、仪表检测点开孔、与工艺管道、设备等连接的仪表用短节、安装座、凸台及法兰安装焊接等；站内所有电缆的桥架制作、电缆敷设、接线的敷设与调试。</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3.4.2集中供热节能控制装置</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1.安装要求</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（1）安装在光线充足、通风良好、操作维修方便的位置。</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（2）控制柜/箱采用落地安装时，支墩（底座）高度为200mm；采用悬挂安装时，箱体底部距操作地面的高度宜为1-1.2m。</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（3）控制柜悬挂安装时，应采用膨胀螺栓加固安装，其两侧与墙壁之间留有足够的空间以保证控制柜门能够正常开启。</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（4）控制柜/箱落地安装时应加装焊接底座，底座应进行防腐，接地处理。</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（5）控制线与通讯线的金属桥架敷设时应垂直向下从控制柜/箱的下口进入，各种线缆接线做到泾渭分明，可用不同颜色或标签加以区分。</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（6）控制柜/箱安装时要采取防尘、防灰措施，避免灰尘进入到控制柜端子及变频器等电气设备中，影响其正常使用。</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2.接线</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（1）电源线采用铜芯线径≥2.5㎜²。</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（2）信号线应按照随机附带接线图接线。</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xml:space="preserve">（3）信号线需排列整齐，并绑扎成束，活动部位均应固定；引出/进的导线应留适当余量，便于检修。 </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（4）信号线削剥处不应损伤导线线芯，线芯过长，导线压接牢固可靠。</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（5）信号电缆的屏蔽层编成麻花状，在整个编制中应保持连续，采用压接法连接到柜体接地汇流螺柱上。</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3.4.3设备接地</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自动控制柜/箱、变频控制柜应可靠接地，当采用联合接地时，接地电阻不大于1Ω。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3.4.4法兰阀门安装</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 法兰安装应符合下列要求：</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（1）两个法兰连接端面应保持平行，不得采用加偏垫、多层垫或采用强力拧紧法兰一侧螺栓的方法消除法兰接口端面的偏差。</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（2）法兰与法兰、法兰与管道应保持同轴。</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 不得采用先加垫片并拧紧法兰螺栓，在焊接法兰焊口的方法进行法兰安装。</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（4）法兰内侧应进行封底焊。</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（5）法兰连接螺栓应采用镀锌螺栓，保证规格相同，安装方向应一致，紧固螺栓应对称均匀地进行，松紧应适度。紧固后丝扣外漏长度应为2倍～3倍螺距，当需用垫圈调整时，每个螺栓应只能使用一个垫圈。</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 阀门安装应符合下列规定：</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（1）阀门吊装应平稳，不得用阀门手轮作为吊装的承重点，不得损坏阀门，已安装就位的阀门应防止重物撞击。</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（2）安装前应清除阀口的封闭物及其他杂物。</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（3）阀门的开关手轮应安装于便于操作的位置。</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（4）阀门应按标注方向进行安装。</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（5）当闸阀、截止阀水平安装时，阀杆应处于上半周范围内。</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（6）当焊接安装时，焊机地线应搭接在同侧焊口的钢管上，不得搭在阀体上。</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（7）阀门焊接完成后降至环境温度后方可操作。</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（8）焊接蝶阀阀板的轴应安装在水平方向上，轴与水平面的最大夹角不应大于60°，不得垂直安装，安装焊接前应关闭阀板，并应采取保护措施。</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（9）当焊接球阀水平安装时应将阀门完全开启；当垂直管道安装，且焊接阀体下方焊缝时应将阀门关闭。焊接过程中应对阀体进行降温。</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（10）阀门安装完毕应正常开启2次～3次。</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（11）阀门不得作为管道末端的堵板使用，应在阀门后加堵板，热水管道应在阀门和堵板之间充满水。</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3.4.5电动调节阀安装</w:t>
      </w:r>
    </w:p>
    <w:p>
      <w:pPr>
        <w:spacing w:line="360" w:lineRule="auto"/>
        <w:rPr>
          <w:rFonts w:hint="eastAsia" w:ascii="宋体" w:hAnsi="宋体" w:eastAsia="宋体"/>
          <w:szCs w:val="21"/>
          <w:lang w:val="en-US" w:eastAsia="zh-CN"/>
        </w:rPr>
      </w:pPr>
      <w:bookmarkStart w:id="151" w:name="OLE_LINK19"/>
      <w:r>
        <w:rPr>
          <w:rFonts w:hint="eastAsia" w:ascii="宋体" w:hAnsi="宋体" w:eastAsia="宋体"/>
          <w:szCs w:val="21"/>
          <w:lang w:val="en-US" w:eastAsia="zh-CN"/>
        </w:rPr>
        <w:t>●</w:t>
      </w:r>
      <w:bookmarkEnd w:id="151"/>
      <w:r>
        <w:rPr>
          <w:rFonts w:hint="eastAsia" w:ascii="宋体" w:hAnsi="宋体" w:eastAsia="宋体"/>
          <w:szCs w:val="21"/>
          <w:lang w:val="en-US" w:eastAsia="zh-CN"/>
        </w:rPr>
        <w:t>安装要求</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（1）电动调节阀的阀体安装于一次侧热媒入口处（一次侧供水管或回水管）。</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（2）电动执行器与阀体连接。</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控制器代表集中供热节能控制装置，电动调节阀通过二次供水温度来自动控制调节一次网的流量使二次供水温度稳定在设定值上（可手动设定温度值运行，也可根据室外温度气候补偿曲线运行），同时具备一次网流量控制或阀门开度控制等。</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安装步骤</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阀体的安装</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①阀体应水平安装于一次热媒的入口处，阀杆朝上，确保执行器可垂直水平安装。</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②涉及弯头安装，弯头两端不可直接连接法兰。</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 执行器安装</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①将阀杆向上拉起。</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②将执行器安装于阀体上。</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③先用内六方或其他合适的工具与固定执行器底部于阀体连接环槽上（切不可先拧紧背死）。</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④旋转执行器手动旋钮（SAX,SKD系列）或手动摇柄（SKB,SKC系列）将执行器连接凹槽与阀杆顶部凹槽对正（注意：SKB,SKC系列要先将执行器下部连接内螺纹活结拆下，并将连接活结套于阀杆上）。</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⑤SAX、SKD执行器连接：用内六方紧固连接螺丝，直至执行器与阀杆紧密连接（连接凹槽一定要对正，否则行程不符或工作时将脱落）。</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⑥KB、SKC执行器的连接</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（1）将连接卡环置于阀杆顶部凹槽中。</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（2）将连接内螺纹活结提起，卡住卡环。</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（3）将连接内螺纹活结沿逆时针方向旋转，背死。</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（4）用手动旋钮（SAX、SKD）或阀杆提起至自动状态。此时，执行器自动找正，然后将阀体连接环槽处螺栓背死。（若未找正，则易产生应力，工作中可能导致支架断裂！）</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3.4.6其他设备</w:t>
      </w:r>
    </w:p>
    <w:p>
      <w:pPr>
        <w:spacing w:line="360" w:lineRule="auto"/>
        <w:rPr>
          <w:rFonts w:hint="eastAsia" w:ascii="宋体" w:hAnsi="宋体" w:eastAsia="宋体"/>
          <w:szCs w:val="21"/>
          <w:lang w:val="en-US" w:eastAsia="zh-CN"/>
        </w:rPr>
      </w:pPr>
      <w:r>
        <w:rPr>
          <w:rFonts w:hint="eastAsia" w:ascii="宋体" w:hAnsi="宋体" w:eastAsia="宋体"/>
          <w:szCs w:val="21"/>
          <w:lang w:val="en-US" w:eastAsia="zh-CN"/>
        </w:rPr>
        <w:t>其他设备严格按照厂家安装标准进行安装，热量表、流量计安装时必须满足前后直管段的要求，前后直管段的长度确定应符合流量计厂家的具体要求。</w:t>
      </w:r>
    </w:p>
    <w:p>
      <w:pPr>
        <w:pStyle w:val="2"/>
        <w:rPr>
          <w:rFonts w:hint="eastAsia"/>
          <w:lang w:val="en-US" w:eastAsia="zh-CN"/>
        </w:rPr>
      </w:pPr>
    </w:p>
    <w:p>
      <w:pPr>
        <w:rPr>
          <w:rFonts w:hint="eastAsia"/>
          <w:lang w:val="en-US" w:eastAsia="zh-CN"/>
        </w:rPr>
      </w:pPr>
    </w:p>
    <w:p>
      <w:pPr>
        <w:pStyle w:val="2"/>
        <w:ind w:left="0" w:leftChars="0" w:firstLine="0" w:firstLineChars="0"/>
        <w:jc w:val="center"/>
        <w:rPr>
          <w:rFonts w:hint="eastAsia" w:ascii="宋体" w:hAnsi="Calibri" w:eastAsia="宋体" w:cs="宋体"/>
          <w:b/>
          <w:bCs/>
          <w:snapToGrid w:val="0"/>
          <w:kern w:val="0"/>
          <w:sz w:val="44"/>
          <w:szCs w:val="44"/>
          <w:lang w:val="en-US" w:eastAsia="zh-CN" w:bidi="ar-SA"/>
        </w:rPr>
      </w:pPr>
      <w:r>
        <w:rPr>
          <w:rFonts w:hint="eastAsia" w:ascii="宋体" w:hAnsi="Calibri" w:eastAsia="宋体" w:cs="宋体"/>
          <w:b/>
          <w:bCs/>
          <w:snapToGrid w:val="0"/>
          <w:kern w:val="0"/>
          <w:sz w:val="44"/>
          <w:szCs w:val="44"/>
          <w:lang w:val="en-US" w:eastAsia="zh-CN" w:bidi="ar-SA"/>
        </w:rPr>
        <w:t>第四章</w:t>
      </w:r>
      <w:r>
        <w:rPr>
          <w:rFonts w:hint="eastAsia" w:ascii="宋体" w:eastAsia="宋体" w:cs="宋体"/>
          <w:b/>
          <w:bCs/>
          <w:snapToGrid w:val="0"/>
          <w:kern w:val="0"/>
          <w:sz w:val="44"/>
          <w:szCs w:val="44"/>
          <w:lang w:val="en-US" w:eastAsia="zh-CN" w:bidi="ar-SA"/>
        </w:rPr>
        <w:t xml:space="preserve">  清单</w:t>
      </w:r>
    </w:p>
    <w:tbl>
      <w:tblPr>
        <w:tblStyle w:val="28"/>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5"/>
        <w:gridCol w:w="87"/>
        <w:gridCol w:w="4011"/>
        <w:gridCol w:w="115"/>
        <w:gridCol w:w="1813"/>
        <w:gridCol w:w="325"/>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85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应急物资采购项目（十一）分户计量设备清单表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名称</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金额（元）</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A地块一期楼道立管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A地块二期楼道立管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B地块一期楼道立管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B地块二期东楼道立管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B地块二期西楼道立管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C地块A区楼道立管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C地块B区楼道立管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C地块C区楼道立管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C地块D区楼道立管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D地块A区楼道立管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D地块B区楼道立管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D地块C区楼道立管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E地块一期东楼道立管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E地块一期西楼道立管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E地块二期1#楼道立管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E地块二期2#楼道立管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E地块二期3#楼道立管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F地块一期楼道立管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F地块二期A区楼道立管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F地块二期B区楼道立管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F地块二期C区楼道立管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F地块二期E区楼道立管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G地块1#楼道立管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G地块2#楼道立管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G地块3#楼道立管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26</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G地块4#楼道立管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27</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S地块楼道立管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28</w:t>
            </w:r>
          </w:p>
        </w:tc>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X地块楼道立管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合计（元）</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55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注：以上报价包含但不限于设备及材料价、税金、运输费、安装调试、措施、规费、安全文明施工等。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5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热力站自控清单表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名称</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金额（元）</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A地块一期热力站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A地块二期热力站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B地块一期热力站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B地块二期东热力站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B地块二期西热力站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C地块A区热力站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C地块B区热力站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D地块A区热力站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D地块B区热力站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D地块C区热力站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E地块一期东热力站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E地块一期西热力站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E地块二期1#热力站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E地块二期2#热力站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E地块二期3#热力站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F地块一期热力站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F地块二期A区热力站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F地块二期B区热力站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F地块二期C区热力站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F地块二期E区热力站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G地块1#热力站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G地块3#热力站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S地块换热站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4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X地块热力站</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0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合计（元）</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55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注：以上报价包含但不限于设备及材料价、税金、运输费、安装调试、措施、规费、安全文明施工等。</w:t>
            </w:r>
          </w:p>
        </w:tc>
      </w:tr>
    </w:tbl>
    <w:p>
      <w:pPr>
        <w:rPr>
          <w:rFonts w:hint="eastAsia"/>
          <w:lang w:val="en-US" w:eastAsia="zh-CN"/>
        </w:rPr>
      </w:pPr>
    </w:p>
    <w:p/>
    <w:tbl>
      <w:tblPr>
        <w:tblW w:w="7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95"/>
        <w:gridCol w:w="3840"/>
        <w:gridCol w:w="21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0" w:hRule="atLeast"/>
        </w:trPr>
        <w:tc>
          <w:tcPr>
            <w:tcW w:w="7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序号</w:t>
            </w:r>
          </w:p>
        </w:tc>
        <w:tc>
          <w:tcPr>
            <w:tcW w:w="3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名称</w:t>
            </w:r>
          </w:p>
        </w:tc>
        <w:tc>
          <w:tcPr>
            <w:tcW w:w="21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金额（元）</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0" w:hRule="atLeast"/>
        </w:trPr>
        <w:tc>
          <w:tcPr>
            <w:tcW w:w="7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1</w:t>
            </w:r>
          </w:p>
        </w:tc>
        <w:tc>
          <w:tcPr>
            <w:tcW w:w="3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分户计量设备及其配套的材料</w:t>
            </w:r>
          </w:p>
        </w:tc>
        <w:tc>
          <w:tcPr>
            <w:tcW w:w="21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2</w:t>
            </w:r>
          </w:p>
        </w:tc>
        <w:tc>
          <w:tcPr>
            <w:tcW w:w="38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自控设备及其配套的材料</w:t>
            </w:r>
          </w:p>
        </w:tc>
        <w:tc>
          <w:tcPr>
            <w:tcW w:w="21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0" w:hRule="atLeast"/>
        </w:trPr>
        <w:tc>
          <w:tcPr>
            <w:tcW w:w="4635" w:type="dxa"/>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合计（元）</w:t>
            </w:r>
          </w:p>
        </w:tc>
        <w:tc>
          <w:tcPr>
            <w:tcW w:w="21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ascii="宋体" w:hAnsi="Calibri" w:eastAsia="宋体" w:cs="宋体"/>
          <w:b/>
          <w:bCs/>
          <w:snapToGrid w:val="0"/>
          <w:kern w:val="0"/>
          <w:sz w:val="44"/>
          <w:szCs w:val="44"/>
          <w:lang w:val="en-US" w:eastAsia="zh-CN" w:bidi="ar-SA"/>
        </w:rPr>
      </w:pPr>
      <w:r>
        <w:rPr>
          <w:rFonts w:hint="eastAsia" w:ascii="宋体" w:hAnsi="Calibri" w:eastAsia="宋体" w:cs="宋体"/>
          <w:b/>
          <w:bCs/>
          <w:snapToGrid w:val="0"/>
          <w:kern w:val="0"/>
          <w:sz w:val="44"/>
          <w:szCs w:val="44"/>
          <w:lang w:val="en-US" w:eastAsia="zh-CN" w:bidi="ar-SA"/>
        </w:rPr>
        <w:t>第五章  图纸(另附）</w:t>
      </w: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rPr>
        <w:rStyle w:val="32"/>
      </w:rPr>
      <w:fldChar w:fldCharType="begin"/>
    </w:r>
    <w:r>
      <w:rPr>
        <w:rStyle w:val="32"/>
      </w:rPr>
      <w:instrText xml:space="preserve">PAGE  </w:instrText>
    </w:r>
    <w:r>
      <w:fldChar w:fldCharType="end"/>
    </w:r>
  </w:p>
  <w:p>
    <w:pPr>
      <w:pStyle w:val="17"/>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Style w:val="32"/>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7"/>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FEB5"/>
    <w:multiLevelType w:val="singleLevel"/>
    <w:tmpl w:val="05E5FEB5"/>
    <w:lvl w:ilvl="0" w:tentative="0">
      <w:start w:val="1"/>
      <w:numFmt w:val="chineseCounting"/>
      <w:suff w:val="nothing"/>
      <w:lvlText w:val="%1、"/>
      <w:lvlJc w:val="left"/>
      <w:rPr>
        <w:rFonts w:hint="eastAsia"/>
      </w:rPr>
    </w:lvl>
  </w:abstractNum>
  <w:abstractNum w:abstractNumId="1">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8C86D22"/>
    <w:multiLevelType w:val="singleLevel"/>
    <w:tmpl w:val="68C86D22"/>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D60C06"/>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CC215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629E2"/>
    <w:rsid w:val="1F1E723C"/>
    <w:rsid w:val="1FCC6E1A"/>
    <w:rsid w:val="1FE33732"/>
    <w:rsid w:val="203D0730"/>
    <w:rsid w:val="205078D8"/>
    <w:rsid w:val="205473B1"/>
    <w:rsid w:val="21225553"/>
    <w:rsid w:val="214160AD"/>
    <w:rsid w:val="21A93E7A"/>
    <w:rsid w:val="21AD4385"/>
    <w:rsid w:val="225879C6"/>
    <w:rsid w:val="231F5584"/>
    <w:rsid w:val="237B7B2F"/>
    <w:rsid w:val="23A70760"/>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E721957"/>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8255E67"/>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0ED5FA8"/>
    <w:rsid w:val="53512668"/>
    <w:rsid w:val="53691AF0"/>
    <w:rsid w:val="54B421E6"/>
    <w:rsid w:val="54E83815"/>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58"/>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45"/>
    <w:qFormat/>
    <w:uiPriority w:val="99"/>
    <w:pPr>
      <w:spacing w:after="120"/>
    </w:pPr>
  </w:style>
  <w:style w:type="paragraph" w:styleId="12">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3">
    <w:name w:val="toc 3"/>
    <w:basedOn w:val="1"/>
    <w:next w:val="1"/>
    <w:qFormat/>
    <w:uiPriority w:val="0"/>
    <w:pPr>
      <w:ind w:left="400" w:leftChars="400"/>
    </w:pPr>
  </w:style>
  <w:style w:type="paragraph" w:styleId="14">
    <w:name w:val="Plain Text"/>
    <w:basedOn w:val="1"/>
    <w:qFormat/>
    <w:uiPriority w:val="0"/>
    <w:pPr>
      <w:adjustRightInd w:val="0"/>
      <w:spacing w:line="312" w:lineRule="atLeast"/>
      <w:textAlignment w:val="baseline"/>
    </w:pPr>
    <w:rPr>
      <w:rFonts w:ascii="宋体"/>
      <w:kern w:val="0"/>
      <w:szCs w:val="20"/>
    </w:rPr>
  </w:style>
  <w:style w:type="paragraph" w:styleId="15">
    <w:name w:val="Date"/>
    <w:basedOn w:val="1"/>
    <w:next w:val="1"/>
    <w:qFormat/>
    <w:uiPriority w:val="0"/>
    <w:pPr>
      <w:ind w:left="2500" w:leftChars="25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rFonts w:ascii="Tahoma" w:hAnsi="Tahoma"/>
      <w:b/>
      <w:sz w:val="18"/>
      <w:szCs w:val="18"/>
    </w:rPr>
  </w:style>
  <w:style w:type="paragraph" w:styleId="18">
    <w:name w:val="header"/>
    <w:basedOn w:val="1"/>
    <w:next w:val="19"/>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19">
    <w:name w:val="引用1"/>
    <w:basedOn w:val="1"/>
    <w:next w:val="1"/>
    <w:qFormat/>
    <w:uiPriority w:val="0"/>
    <w:pPr>
      <w:ind w:left="864" w:right="864"/>
      <w:jc w:val="center"/>
    </w:pPr>
    <w:rPr>
      <w:rFonts w:ascii="Times New Roman" w:hAnsi="Times New Roman"/>
      <w:i/>
      <w:iCs/>
      <w:color w:val="404040"/>
    </w:rPr>
  </w:style>
  <w:style w:type="paragraph" w:styleId="20">
    <w:name w:val="toc 1"/>
    <w:basedOn w:val="1"/>
    <w:next w:val="1"/>
    <w:qFormat/>
    <w:uiPriority w:val="0"/>
  </w:style>
  <w:style w:type="paragraph" w:styleId="21">
    <w:name w:val="toc 2"/>
    <w:basedOn w:val="1"/>
    <w:next w:val="1"/>
    <w:qFormat/>
    <w:uiPriority w:val="0"/>
    <w:pPr>
      <w:ind w:left="200" w:leftChars="200"/>
    </w:pPr>
  </w:style>
  <w:style w:type="paragraph" w:styleId="22">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3">
    <w:name w:val="Normal (Web)"/>
    <w:basedOn w:val="1"/>
    <w:qFormat/>
    <w:uiPriority w:val="0"/>
    <w:pPr>
      <w:widowControl/>
      <w:spacing w:beforeAutospacing="1" w:afterAutospacing="1"/>
      <w:jc w:val="left"/>
    </w:pPr>
  </w:style>
  <w:style w:type="paragraph" w:styleId="24">
    <w:name w:val="Title"/>
    <w:basedOn w:val="1"/>
    <w:next w:val="1"/>
    <w:link w:val="53"/>
    <w:qFormat/>
    <w:uiPriority w:val="0"/>
    <w:pPr>
      <w:spacing w:before="240" w:after="60"/>
      <w:jc w:val="center"/>
      <w:outlineLvl w:val="0"/>
    </w:pPr>
    <w:rPr>
      <w:rFonts w:ascii="Cambria" w:hAnsi="Cambria"/>
      <w:b/>
      <w:bCs/>
      <w:sz w:val="32"/>
      <w:szCs w:val="32"/>
    </w:rPr>
  </w:style>
  <w:style w:type="paragraph" w:styleId="25">
    <w:name w:val="annotation subject"/>
    <w:basedOn w:val="9"/>
    <w:next w:val="9"/>
    <w:qFormat/>
    <w:uiPriority w:val="0"/>
    <w:rPr>
      <w:b/>
      <w:bCs/>
    </w:rPr>
  </w:style>
  <w:style w:type="paragraph" w:styleId="26">
    <w:name w:val="Body Text First Indent"/>
    <w:basedOn w:val="11"/>
    <w:qFormat/>
    <w:uiPriority w:val="0"/>
    <w:pPr>
      <w:spacing w:line="360" w:lineRule="auto"/>
      <w:ind w:firstLine="100" w:firstLineChars="100"/>
      <w:outlineLvl w:val="0"/>
    </w:pPr>
    <w:rPr>
      <w:bCs/>
      <w:color w:val="000000"/>
      <w:kern w:val="28"/>
      <w:szCs w:val="21"/>
    </w:rPr>
  </w:style>
  <w:style w:type="paragraph" w:styleId="27">
    <w:name w:val="Body Text First Indent 2"/>
    <w:basedOn w:val="12"/>
    <w:next w:val="1"/>
    <w:qFormat/>
    <w:uiPriority w:val="0"/>
    <w:pPr>
      <w:tabs>
        <w:tab w:val="left" w:pos="8280"/>
      </w:tabs>
      <w:ind w:firstLine="200" w:firstLineChars="200"/>
    </w:pPr>
    <w:rPr>
      <w:rFonts w:ascii="Times New Roman" w:hAnsi="Times New Roman"/>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themeColor="followedHyperlink"/>
      <w:u w:val="single"/>
      <w14:textFill>
        <w14:solidFill>
          <w14:schemeClr w14:val="folHlink"/>
        </w14:solidFill>
      </w14:textFill>
    </w:rPr>
  </w:style>
  <w:style w:type="character" w:styleId="34">
    <w:name w:val="Hyperlink"/>
    <w:basedOn w:val="30"/>
    <w:qFormat/>
    <w:uiPriority w:val="0"/>
    <w:rPr>
      <w:color w:val="0000FF"/>
      <w:u w:val="single"/>
    </w:rPr>
  </w:style>
  <w:style w:type="character" w:styleId="35">
    <w:name w:val="annotation reference"/>
    <w:qFormat/>
    <w:uiPriority w:val="0"/>
    <w:rPr>
      <w:rFonts w:ascii="Tahoma" w:hAnsi="Tahoma"/>
      <w:b/>
      <w:sz w:val="21"/>
      <w:szCs w:val="21"/>
    </w:rPr>
  </w:style>
  <w:style w:type="paragraph" w:customStyle="1" w:styleId="36">
    <w:name w:val="BodyText"/>
    <w:basedOn w:val="1"/>
    <w:qFormat/>
    <w:uiPriority w:val="0"/>
    <w:pPr>
      <w:spacing w:after="120"/>
    </w:pPr>
  </w:style>
  <w:style w:type="paragraph" w:customStyle="1" w:styleId="37">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38">
    <w:name w:val="Char"/>
    <w:basedOn w:val="1"/>
    <w:qFormat/>
    <w:uiPriority w:val="0"/>
  </w:style>
  <w:style w:type="paragraph" w:customStyle="1" w:styleId="39">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0">
    <w:name w:val="列出段落1"/>
    <w:basedOn w:val="1"/>
    <w:qFormat/>
    <w:uiPriority w:val="0"/>
    <w:pPr>
      <w:ind w:firstLine="200" w:firstLineChars="200"/>
    </w:pPr>
    <w:rPr>
      <w:szCs w:val="22"/>
    </w:rPr>
  </w:style>
  <w:style w:type="paragraph" w:customStyle="1" w:styleId="41">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2">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3">
    <w:name w:val="默认段落字体 Para Char Char Char Char Char Char Char"/>
    <w:basedOn w:val="1"/>
    <w:qFormat/>
    <w:uiPriority w:val="0"/>
    <w:rPr>
      <w:rFonts w:ascii="Times New Roman" w:hAnsi="Times New Roman"/>
      <w:szCs w:val="20"/>
    </w:rPr>
  </w:style>
  <w:style w:type="paragraph" w:customStyle="1" w:styleId="44">
    <w:name w:val="Table Paragraph"/>
    <w:basedOn w:val="1"/>
    <w:qFormat/>
    <w:uiPriority w:val="0"/>
  </w:style>
  <w:style w:type="character" w:customStyle="1" w:styleId="45">
    <w:name w:val="正文文本 字符"/>
    <w:basedOn w:val="30"/>
    <w:link w:val="11"/>
    <w:qFormat/>
    <w:uiPriority w:val="99"/>
    <w:rPr>
      <w:rFonts w:ascii="Calibri" w:hAnsi="Calibri"/>
      <w:kern w:val="2"/>
      <w:sz w:val="21"/>
      <w:szCs w:val="24"/>
    </w:rPr>
  </w:style>
  <w:style w:type="paragraph" w:customStyle="1" w:styleId="46">
    <w:name w:val="UserStyle_1"/>
    <w:basedOn w:val="1"/>
    <w:qFormat/>
    <w:uiPriority w:val="0"/>
    <w:pPr>
      <w:topLinePunct/>
      <w:spacing w:line="360" w:lineRule="auto"/>
      <w:ind w:firstLine="200" w:firstLineChars="200"/>
    </w:pPr>
    <w:rPr>
      <w:rFonts w:ascii="Verdana" w:hAnsi="Verdana"/>
      <w:sz w:val="24"/>
    </w:rPr>
  </w:style>
  <w:style w:type="character" w:customStyle="1" w:styleId="47">
    <w:name w:val="NormalCharacter"/>
    <w:qFormat/>
    <w:uiPriority w:val="0"/>
  </w:style>
  <w:style w:type="table" w:customStyle="1" w:styleId="48">
    <w:name w:val="Table Normal"/>
    <w:semiHidden/>
    <w:unhideWhenUsed/>
    <w:qFormat/>
    <w:uiPriority w:val="0"/>
    <w:tblPr>
      <w:tblLayout w:type="fixed"/>
      <w:tblCellMar>
        <w:top w:w="0" w:type="dxa"/>
        <w:left w:w="0" w:type="dxa"/>
        <w:bottom w:w="0" w:type="dxa"/>
        <w:right w:w="0" w:type="dxa"/>
      </w:tblCellMar>
    </w:tblPr>
  </w:style>
  <w:style w:type="character" w:customStyle="1" w:styleId="49">
    <w:name w:val="font01"/>
    <w:basedOn w:val="30"/>
    <w:qFormat/>
    <w:uiPriority w:val="0"/>
    <w:rPr>
      <w:rFonts w:hint="eastAsia" w:ascii="宋体" w:hAnsi="宋体" w:eastAsia="宋体" w:cs="宋体"/>
      <w:color w:val="FF0000"/>
      <w:sz w:val="22"/>
      <w:szCs w:val="22"/>
      <w:u w:val="none"/>
    </w:rPr>
  </w:style>
  <w:style w:type="character" w:customStyle="1" w:styleId="50">
    <w:name w:val="font11"/>
    <w:basedOn w:val="30"/>
    <w:qFormat/>
    <w:uiPriority w:val="0"/>
    <w:rPr>
      <w:rFonts w:hint="eastAsia" w:ascii="宋体" w:hAnsi="宋体" w:eastAsia="宋体" w:cs="宋体"/>
      <w:color w:val="000000"/>
      <w:sz w:val="22"/>
      <w:szCs w:val="22"/>
      <w:u w:val="none"/>
    </w:rPr>
  </w:style>
  <w:style w:type="character" w:customStyle="1" w:styleId="51">
    <w:name w:val="font41"/>
    <w:basedOn w:val="30"/>
    <w:qFormat/>
    <w:uiPriority w:val="0"/>
    <w:rPr>
      <w:rFonts w:hint="eastAsia" w:ascii="宋体" w:hAnsi="宋体" w:eastAsia="宋体" w:cs="宋体"/>
      <w:color w:val="FFC000"/>
      <w:sz w:val="22"/>
      <w:szCs w:val="22"/>
      <w:u w:val="none"/>
    </w:rPr>
  </w:style>
  <w:style w:type="character" w:customStyle="1" w:styleId="52">
    <w:name w:val="font31"/>
    <w:basedOn w:val="30"/>
    <w:qFormat/>
    <w:uiPriority w:val="0"/>
    <w:rPr>
      <w:rFonts w:hint="default" w:ascii="Times New Roman" w:hAnsi="Times New Roman" w:cs="Times New Roman"/>
      <w:color w:val="000000"/>
      <w:sz w:val="23"/>
      <w:szCs w:val="23"/>
      <w:u w:val="none"/>
    </w:rPr>
  </w:style>
  <w:style w:type="character" w:customStyle="1" w:styleId="53">
    <w:name w:val="标题 字符"/>
    <w:link w:val="24"/>
    <w:qFormat/>
    <w:uiPriority w:val="0"/>
    <w:rPr>
      <w:rFonts w:ascii="Cambria" w:hAnsi="Cambria"/>
      <w:b/>
      <w:bCs/>
      <w:sz w:val="32"/>
      <w:szCs w:val="32"/>
    </w:rPr>
  </w:style>
  <w:style w:type="paragraph" w:customStyle="1" w:styleId="54">
    <w:name w:val="章标题"/>
    <w:basedOn w:val="1"/>
    <w:next w:val="55"/>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6">
    <w:name w:val="标题 32"/>
    <w:basedOn w:val="1"/>
    <w:qFormat/>
    <w:uiPriority w:val="0"/>
    <w:pPr>
      <w:widowControl/>
      <w:jc w:val="left"/>
      <w:outlineLvl w:val="3"/>
    </w:pPr>
    <w:rPr>
      <w:rFonts w:ascii="宋体" w:hAnsi="宋体" w:cs="宋体"/>
      <w:kern w:val="0"/>
      <w:sz w:val="27"/>
      <w:szCs w:val="27"/>
    </w:rPr>
  </w:style>
  <w:style w:type="paragraph" w:styleId="57">
    <w:name w:val="List Paragraph"/>
    <w:basedOn w:val="1"/>
    <w:qFormat/>
    <w:uiPriority w:val="99"/>
    <w:pPr>
      <w:ind w:firstLine="420" w:firstLineChars="200"/>
    </w:pPr>
    <w:rPr>
      <w:rFonts w:ascii="Calibri" w:hAnsi="Calibri"/>
      <w:szCs w:val="22"/>
    </w:rPr>
  </w:style>
  <w:style w:type="character" w:customStyle="1" w:styleId="58">
    <w:name w:val="标题 4 Char"/>
    <w:basedOn w:val="30"/>
    <w:link w:val="5"/>
    <w:qFormat/>
    <w:uiPriority w:val="9"/>
    <w:rPr>
      <w:rFonts w:eastAsia="仿宋" w:asciiTheme="majorHAnsi" w:hAnsiTheme="majorHAnsi" w:cstheme="majorBidi"/>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2</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2023-08-08T06:55:00Z</cp:lastPrinted>
  <dcterms:modified xsi:type="dcterms:W3CDTF">2023-08-15T06:19:14Z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