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石家庄承宏工程建设有限公司</w:t>
      </w:r>
    </w:p>
    <w:p>
      <w:pPr>
        <w:spacing w:before="295"/>
        <w:ind w:left="871" w:right="871"/>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val="en-US" w:eastAsia="zh-CN"/>
        </w:rPr>
        <w:t>应急物资采购</w:t>
      </w:r>
      <w:r>
        <w:rPr>
          <w:rFonts w:hint="eastAsia" w:ascii="宋体" w:hAnsi="宋体" w:cs="宋体"/>
          <w:b/>
          <w:bCs/>
          <w:sz w:val="44"/>
          <w:szCs w:val="44"/>
          <w:highlight w:val="none"/>
          <w:lang w:eastAsia="zh-CN"/>
        </w:rPr>
        <w:t>项目（十三）</w:t>
      </w:r>
    </w:p>
    <w:p>
      <w:pPr>
        <w:pStyle w:val="13"/>
        <w:spacing w:after="0" w:line="360" w:lineRule="auto"/>
        <w:jc w:val="center"/>
        <w:rPr>
          <w:rFonts w:ascii="黑体" w:hAnsi="黑体" w:eastAsia="黑体" w:cs="宋体"/>
          <w:b/>
          <w:bCs/>
          <w:snapToGrid w:val="0"/>
          <w:kern w:val="0"/>
          <w:sz w:val="40"/>
          <w:szCs w:val="40"/>
          <w:highlight w:val="none"/>
        </w:rPr>
      </w:pPr>
      <w:r>
        <w:rPr>
          <w:rFonts w:hint="eastAsia" w:ascii="宋体" w:hAnsi="宋体" w:cs="宋体"/>
          <w:b/>
          <w:bCs/>
          <w:sz w:val="44"/>
          <w:szCs w:val="44"/>
          <w:highlight w:val="none"/>
          <w:lang w:val="en-US" w:eastAsia="zh-CN"/>
        </w:rPr>
        <w:t>直连机组</w:t>
      </w:r>
    </w:p>
    <w:p>
      <w:pPr>
        <w:pStyle w:val="13"/>
        <w:spacing w:after="0" w:line="360" w:lineRule="auto"/>
        <w:jc w:val="center"/>
        <w:rPr>
          <w:rFonts w:ascii="黑体" w:hAnsi="黑体" w:eastAsia="黑体" w:cs="宋体"/>
          <w:b/>
          <w:bCs/>
          <w:snapToGrid w:val="0"/>
          <w:kern w:val="0"/>
          <w:sz w:val="40"/>
          <w:szCs w:val="40"/>
          <w:highlight w:val="none"/>
        </w:rPr>
      </w:pPr>
    </w:p>
    <w:p>
      <w:pPr>
        <w:pStyle w:val="13"/>
        <w:spacing w:after="0" w:line="360" w:lineRule="auto"/>
        <w:jc w:val="center"/>
        <w:rPr>
          <w:rFonts w:ascii="黑体" w:hAnsi="黑体" w:eastAsia="黑体" w:cs="宋体"/>
          <w:snapToGrid w:val="0"/>
          <w:kern w:val="0"/>
          <w:sz w:val="36"/>
          <w:szCs w:val="36"/>
          <w:highlight w:val="none"/>
        </w:rPr>
      </w:pPr>
      <w:bookmarkStart w:id="149" w:name="_GoBack"/>
      <w:bookmarkEnd w:id="149"/>
    </w:p>
    <w:p>
      <w:pPr>
        <w:pStyle w:val="13"/>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13"/>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8</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9252"/>
      <w:bookmarkStart w:id="1" w:name="_Toc1893"/>
      <w:bookmarkStart w:id="2" w:name="_Toc9360"/>
      <w:bookmarkStart w:id="3" w:name="_Toc29917"/>
      <w:bookmarkStart w:id="4" w:name="_Toc15937"/>
      <w:bookmarkStart w:id="5" w:name="_Toc16820"/>
      <w:bookmarkStart w:id="6" w:name="_Toc7028"/>
      <w:bookmarkStart w:id="7" w:name="_Toc27485"/>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13"/>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rPr>
          <w:rFonts w:hint="default" w:eastAsia="宋体"/>
          <w:highlight w:val="none"/>
          <w:lang w:val="en-US" w:eastAsia="zh-CN"/>
        </w:rPr>
      </w:pPr>
      <w:r>
        <w:rPr>
          <w:rFonts w:hint="eastAsia"/>
          <w:sz w:val="32"/>
          <w:highlight w:val="none"/>
          <w:lang w:val="en-US" w:eastAsia="zh-CN"/>
        </w:rPr>
        <w:t xml:space="preserve">      第三章   技术要求</w:t>
      </w:r>
    </w:p>
    <w:bookmarkEnd w:id="8"/>
    <w:p>
      <w:pPr>
        <w:spacing w:line="720" w:lineRule="auto"/>
        <w:jc w:val="center"/>
        <w:outlineLvl w:val="1"/>
        <w:rPr>
          <w:rFonts w:hint="eastAsia" w:ascii="宋体" w:cs="宋体"/>
          <w:b/>
          <w:bCs/>
          <w:snapToGrid w:val="0"/>
          <w:kern w:val="0"/>
          <w:sz w:val="44"/>
          <w:szCs w:val="44"/>
          <w:highlight w:val="none"/>
        </w:rPr>
      </w:pPr>
      <w:bookmarkStart w:id="9" w:name="_Toc12829"/>
      <w:bookmarkStart w:id="10" w:name="_Toc10675"/>
      <w:bookmarkStart w:id="11" w:name="_Toc3275"/>
      <w:bookmarkStart w:id="12" w:name="_Toc19817"/>
      <w:bookmarkStart w:id="13" w:name="_Toc23647"/>
      <w:bookmarkStart w:id="14" w:name="_Toc17223"/>
      <w:bookmarkStart w:id="15" w:name="_Toc13783"/>
      <w:bookmarkStart w:id="16" w:name="_Toc9249"/>
      <w:bookmarkStart w:id="17" w:name="_Toc23301"/>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32441"/>
      <w:bookmarkStart w:id="19" w:name="_Toc18909"/>
      <w:bookmarkStart w:id="20" w:name="_Toc421110024"/>
      <w:bookmarkStart w:id="21" w:name="_Toc23909"/>
      <w:bookmarkStart w:id="22" w:name="_Toc1433"/>
      <w:bookmarkStart w:id="23" w:name="_Toc14296"/>
      <w:bookmarkStart w:id="24" w:name="_Toc28077"/>
      <w:bookmarkStart w:id="25" w:name="_Toc4359"/>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由合规科、工程科、预算科组建评标小组，</w:t>
      </w:r>
      <w:r>
        <w:rPr>
          <w:rFonts w:hint="eastAsia" w:ascii="宋体" w:hAnsi="宋体" w:cs="宋体"/>
          <w:color w:val="000000"/>
          <w:kern w:val="0"/>
          <w:sz w:val="24"/>
          <w:highlight w:val="none"/>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4.评价审查的最终结果</w:t>
      </w:r>
      <w:r>
        <w:rPr>
          <w:rFonts w:hint="eastAsia" w:ascii="宋体" w:hAnsi="宋体" w:cs="宋体"/>
          <w:color w:val="000000"/>
          <w:kern w:val="0"/>
          <w:sz w:val="24"/>
          <w:highlight w:val="none"/>
          <w:lang w:eastAsia="zh-CN"/>
        </w:rPr>
        <w:t>入围本项目合格供应商</w:t>
      </w:r>
      <w:r>
        <w:rPr>
          <w:rFonts w:hint="eastAsia" w:ascii="宋体" w:hAnsi="宋体" w:cs="宋体"/>
          <w:color w:val="000000"/>
          <w:kern w:val="0"/>
          <w:sz w:val="24"/>
          <w:highlight w:val="none"/>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highlight w:val="none"/>
        </w:rPr>
      </w:pPr>
      <w:r>
        <w:rPr>
          <w:rFonts w:hint="eastAsia" w:ascii="宋体" w:cs="宋体"/>
          <w:kern w:val="0"/>
          <w:sz w:val="24"/>
          <w:highlight w:val="none"/>
          <w:lang w:val="en-US" w:eastAsia="zh-CN"/>
        </w:rPr>
        <w:t>5.</w:t>
      </w:r>
      <w:r>
        <w:rPr>
          <w:rFonts w:hint="eastAsia" w:ascii="宋体" w:cs="宋体"/>
          <w:kern w:val="0"/>
          <w:sz w:val="24"/>
          <w:highlight w:val="none"/>
        </w:rPr>
        <w:t>比选活动受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4.加盖年检章的营业执照副本复印件</w:t>
      </w:r>
      <w:r>
        <w:rPr>
          <w:rFonts w:hint="eastAsia" w:ascii="宋体" w:hAnsi="宋体" w:cs="宋体"/>
          <w:color w:val="000000"/>
          <w:kern w:val="0"/>
          <w:sz w:val="24"/>
          <w:highlight w:val="none"/>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7.信用证明文件</w:t>
      </w:r>
      <w:r>
        <w:rPr>
          <w:rFonts w:hint="eastAsia" w:ascii="宋体" w:hAnsi="宋体" w:cs="宋体"/>
          <w:color w:val="000000"/>
          <w:kern w:val="0"/>
          <w:sz w:val="24"/>
          <w:highlight w:val="none"/>
          <w:lang w:eastAsia="zh-CN"/>
        </w:rPr>
        <w:t>（递交截止时间当天或前一天信用中国截图）</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详细</w:t>
      </w:r>
      <w:r>
        <w:rPr>
          <w:rFonts w:hint="eastAsia" w:ascii="宋体" w:hAnsi="宋体" w:cs="宋体"/>
          <w:color w:val="000000"/>
          <w:kern w:val="0"/>
          <w:sz w:val="24"/>
          <w:highlight w:val="none"/>
        </w:rPr>
        <w:t>企业简介（包括组织机构、</w:t>
      </w:r>
      <w:r>
        <w:rPr>
          <w:rFonts w:hint="eastAsia" w:ascii="宋体" w:hAnsi="宋体" w:cs="宋体"/>
          <w:color w:val="000000"/>
          <w:kern w:val="0"/>
          <w:sz w:val="24"/>
          <w:highlight w:val="none"/>
          <w:lang w:eastAsia="zh-CN"/>
        </w:rPr>
        <w:t>供应</w:t>
      </w:r>
      <w:r>
        <w:rPr>
          <w:rFonts w:hint="eastAsia" w:ascii="宋体" w:hAnsi="宋体" w:cs="宋体"/>
          <w:color w:val="000000"/>
          <w:kern w:val="0"/>
          <w:sz w:val="24"/>
          <w:highlight w:val="none"/>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.供应商保密协议（格式见附件</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1.与</w:t>
      </w:r>
      <w:r>
        <w:rPr>
          <w:rFonts w:hint="eastAsia" w:ascii="宋体" w:hAnsi="宋体" w:cs="宋体"/>
          <w:color w:val="000000"/>
          <w:kern w:val="0"/>
          <w:sz w:val="24"/>
          <w:highlight w:val="none"/>
          <w:lang w:eastAsia="zh-CN"/>
        </w:rPr>
        <w:t>要求</w:t>
      </w:r>
      <w:r>
        <w:rPr>
          <w:rFonts w:hint="eastAsia" w:ascii="宋体" w:hAnsi="宋体" w:cs="宋体"/>
          <w:color w:val="000000"/>
          <w:kern w:val="0"/>
          <w:sz w:val="24"/>
          <w:highlight w:val="none"/>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6.产品认证证书复印件。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yellow"/>
          <w:lang w:val="en-US" w:eastAsia="zh-CN"/>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yellow"/>
          <w:lang w:val="en-US" w:eastAsia="zh-CN"/>
        </w:rPr>
        <w:t>根据第三章技术要求第二项机组参数附报价</w:t>
      </w:r>
    </w:p>
    <w:p>
      <w:pPr>
        <w:pStyle w:val="2"/>
        <w:rPr>
          <w:rFonts w:hint="default"/>
          <w:highlight w:val="none"/>
          <w:lang w:val="en-US" w:eastAsia="zh-CN"/>
        </w:rPr>
      </w:pPr>
      <w:r>
        <w:rPr>
          <w:rFonts w:hint="eastAsia" w:ascii="宋体" w:hAnsi="宋体" w:cs="宋体"/>
          <w:color w:val="000000"/>
          <w:kern w:val="0"/>
          <w:sz w:val="24"/>
          <w:highlight w:val="none"/>
          <w:lang w:val="en-US" w:eastAsia="zh-CN"/>
        </w:rPr>
        <w:t>8.针对本项目的生产周期</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入围结果在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93"/>
      <w:bookmarkStart w:id="27" w:name="_Toc16541"/>
      <w:bookmarkStart w:id="28" w:name="_Toc7450"/>
      <w:bookmarkStart w:id="29" w:name="_Toc29818"/>
      <w:bookmarkStart w:id="30" w:name="_Toc12747"/>
      <w:bookmarkStart w:id="31" w:name="_Toc4460"/>
      <w:bookmarkStart w:id="32" w:name="_Toc24327"/>
      <w:bookmarkStart w:id="33" w:name="_Toc20463"/>
      <w:bookmarkStart w:id="34" w:name="_Toc26971"/>
    </w:p>
    <w:p>
      <w:pPr>
        <w:pStyle w:val="13"/>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ascii="宋体" w:cs="宋体"/>
          <w:kern w:val="0"/>
          <w:sz w:val="24"/>
          <w:highlight w:val="none"/>
          <w:lang w:val="zh-CN"/>
        </w:rPr>
      </w:pPr>
      <w:r>
        <w:rPr>
          <w:rFonts w:hint="eastAsia" w:ascii="宋体" w:cs="宋体"/>
          <w:kern w:val="0"/>
          <w:sz w:val="24"/>
          <w:highlight w:val="none"/>
          <w:lang w:val="zh-CN"/>
        </w:rPr>
        <w:br w:type="page"/>
      </w: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6388"/>
      <w:bookmarkStart w:id="36" w:name="_Toc29658"/>
      <w:bookmarkStart w:id="37" w:name="_Toc2536"/>
      <w:bookmarkStart w:id="38" w:name="_Toc24025"/>
      <w:bookmarkStart w:id="39" w:name="_Toc25160"/>
      <w:bookmarkStart w:id="40" w:name="_Toc25572"/>
      <w:bookmarkStart w:id="41" w:name="_Toc8581"/>
      <w:bookmarkStart w:id="42" w:name="_Toc18593"/>
    </w:p>
    <w:p>
      <w:pPr>
        <w:jc w:val="center"/>
        <w:rPr>
          <w:rFonts w:ascii="宋体" w:cs="宋体"/>
          <w:b/>
          <w:bCs/>
          <w:kern w:val="0"/>
          <w:sz w:val="36"/>
          <w:szCs w:val="36"/>
          <w:highlight w:val="none"/>
        </w:rPr>
      </w:pPr>
    </w:p>
    <w:p>
      <w:pPr>
        <w:pStyle w:val="37"/>
        <w:rPr>
          <w:highlight w:val="none"/>
        </w:rPr>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highlight w:val="none"/>
        </w:rPr>
      </w:pPr>
      <w:bookmarkStart w:id="43" w:name="_Toc21192"/>
      <w:bookmarkStart w:id="44" w:name="_Toc7407"/>
      <w:bookmarkStart w:id="45" w:name="_Toc8214"/>
      <w:bookmarkStart w:id="46" w:name="_Toc2122"/>
      <w:bookmarkStart w:id="47" w:name="_Toc1264"/>
      <w:bookmarkStart w:id="48" w:name="_Toc28891"/>
      <w:bookmarkStart w:id="49" w:name="_Toc10795"/>
      <w:bookmarkStart w:id="50" w:name="_Toc6235"/>
      <w:bookmarkStart w:id="51" w:name="_Toc31185"/>
      <w:bookmarkStart w:id="52" w:name="_Toc7287"/>
      <w:bookmarkStart w:id="53" w:name="_Toc17910"/>
      <w:bookmarkStart w:id="54" w:name="_Toc5441"/>
      <w:bookmarkStart w:id="55" w:name="_Toc21194"/>
      <w:bookmarkStart w:id="56" w:name="_Toc13905"/>
      <w:bookmarkStart w:id="57" w:name="_Toc25289"/>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总报价为</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58" w:name="_Toc27672"/>
      <w:bookmarkStart w:id="59" w:name="_Toc27645"/>
      <w:bookmarkStart w:id="60" w:name="_Toc31352"/>
      <w:bookmarkStart w:id="61" w:name="_Toc18936"/>
      <w:bookmarkStart w:id="62" w:name="_Toc18578"/>
      <w:bookmarkStart w:id="63" w:name="_Toc28859"/>
      <w:bookmarkStart w:id="64" w:name="_Toc11513"/>
      <w:bookmarkStart w:id="65" w:name="_Toc8562"/>
      <w:bookmarkStart w:id="66" w:name="_Toc4019"/>
      <w:bookmarkStart w:id="67" w:name="_Toc12745"/>
      <w:bookmarkStart w:id="68" w:name="_Toc27069"/>
      <w:bookmarkStart w:id="69" w:name="_Toc12924"/>
      <w:bookmarkStart w:id="70" w:name="_Toc24540"/>
      <w:bookmarkStart w:id="71" w:name="_Toc2998"/>
      <w:bookmarkStart w:id="72" w:name="_Toc21922"/>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49162371"/>
      <w:bookmarkStart w:id="74" w:name="_Toc198862465"/>
      <w:r>
        <w:rPr>
          <w:b/>
          <w:kern w:val="0"/>
          <w:sz w:val="28"/>
          <w:szCs w:val="28"/>
          <w:highlight w:val="none"/>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highlight w:val="none"/>
        </w:rPr>
        <w:t xml:space="preserve"> </w:t>
      </w:r>
    </w:p>
    <w:bookmarkEnd w:id="73"/>
    <w:bookmarkEnd w:id="74"/>
    <w:p>
      <w:pPr>
        <w:pStyle w:val="5"/>
        <w:ind w:right="-293" w:rightChars="-146"/>
        <w:jc w:val="center"/>
        <w:rPr>
          <w:rFonts w:ascii="宋体"/>
          <w:sz w:val="24"/>
          <w:szCs w:val="24"/>
          <w:highlight w:val="none"/>
          <w:lang w:val="zh-CN"/>
        </w:rPr>
      </w:pPr>
      <w:bookmarkStart w:id="75" w:name="_Toc12389"/>
      <w:bookmarkStart w:id="76" w:name="_Toc13257"/>
      <w:bookmarkStart w:id="77" w:name="_Toc396236151"/>
      <w:bookmarkStart w:id="78" w:name="_Toc396236625"/>
      <w:bookmarkStart w:id="79" w:name="_Toc360630804"/>
      <w:bookmarkStart w:id="80" w:name="_Toc2962"/>
      <w:bookmarkStart w:id="81" w:name="_Toc16317"/>
      <w:bookmarkStart w:id="82" w:name="_Toc27295"/>
      <w:bookmarkStart w:id="83" w:name="_Toc7142"/>
      <w:bookmarkStart w:id="84" w:name="_Toc18230"/>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85" w:name="_Toc20277"/>
      <w:bookmarkStart w:id="86" w:name="_Toc8425"/>
      <w:bookmarkStart w:id="87" w:name="_Toc16316"/>
      <w:bookmarkStart w:id="88" w:name="_Toc9265"/>
      <w:bookmarkStart w:id="89" w:name="_Toc16972"/>
      <w:bookmarkStart w:id="90" w:name="_Toc10367"/>
      <w:bookmarkStart w:id="91" w:name="_Toc8164"/>
      <w:bookmarkStart w:id="92" w:name="_Toc15437"/>
      <w:bookmarkStart w:id="93" w:name="_Toc13241"/>
      <w:bookmarkStart w:id="94" w:name="_Toc31358"/>
      <w:bookmarkStart w:id="95" w:name="_Toc22278"/>
      <w:bookmarkStart w:id="96" w:name="_Toc26549"/>
      <w:bookmarkStart w:id="97" w:name="_Toc13184"/>
      <w:bookmarkStart w:id="98" w:name="_Toc15030"/>
      <w:bookmarkStart w:id="99" w:name="_Toc27913"/>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highlight w:val="none"/>
        </w:rPr>
      </w:pPr>
    </w:p>
    <w:tbl>
      <w:tblPr>
        <w:tblStyle w:val="29"/>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100" w:name="_Toc23998"/>
      <w:bookmarkStart w:id="101" w:name="_Toc14650"/>
      <w:bookmarkStart w:id="102" w:name="_Toc21368"/>
      <w:bookmarkStart w:id="103" w:name="_Toc23947"/>
      <w:bookmarkStart w:id="104" w:name="_Toc22604"/>
      <w:bookmarkStart w:id="105" w:name="_Toc3288"/>
      <w:bookmarkStart w:id="106" w:name="_Toc17474"/>
      <w:bookmarkStart w:id="107" w:name="_Toc31166"/>
      <w:bookmarkStart w:id="108" w:name="_Toc23743"/>
      <w:bookmarkStart w:id="109" w:name="_Toc13575"/>
      <w:bookmarkStart w:id="110" w:name="_Toc29165"/>
      <w:bookmarkStart w:id="111" w:name="_Toc25563"/>
      <w:bookmarkStart w:id="112" w:name="_Toc3150"/>
      <w:bookmarkStart w:id="113" w:name="_Toc5056"/>
      <w:r>
        <w:rPr>
          <w:b/>
          <w:kern w:val="0"/>
          <w:sz w:val="28"/>
          <w:szCs w:val="28"/>
          <w:highlight w:val="none"/>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highlight w:val="none"/>
        </w:rPr>
      </w:pPr>
    </w:p>
    <w:tbl>
      <w:tblPr>
        <w:tblStyle w:val="29"/>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p>
      <w:pPr>
        <w:pStyle w:val="26"/>
        <w:pageBreakBefore/>
        <w:jc w:val="both"/>
        <w:rPr>
          <w:highlight w:val="none"/>
        </w:rPr>
      </w:pPr>
      <w:bookmarkStart w:id="114" w:name="_Toc15243"/>
      <w:bookmarkStart w:id="115" w:name="_Toc5186"/>
      <w:bookmarkStart w:id="116" w:name="_Toc29218"/>
      <w:bookmarkStart w:id="117" w:name="_Toc14477"/>
      <w:bookmarkStart w:id="118" w:name="_Toc130"/>
      <w:bookmarkStart w:id="119" w:name="_Toc900"/>
      <w:bookmarkStart w:id="120" w:name="_Toc27824"/>
      <w:bookmarkStart w:id="121" w:name="_Toc2580"/>
      <w:bookmarkStart w:id="122" w:name="_Toc22564"/>
      <w:bookmarkStart w:id="123" w:name="_Toc26340"/>
      <w:bookmarkStart w:id="124" w:name="_Toc13141"/>
      <w:bookmarkStart w:id="125" w:name="_Toc3848"/>
      <w:bookmarkStart w:id="126" w:name="_Toc9458"/>
      <w:bookmarkStart w:id="127" w:name="_Toc12196"/>
      <w:r>
        <w:rPr>
          <w:rStyle w:val="54"/>
          <w:b/>
          <w:bCs/>
          <w:highlight w:val="none"/>
        </w:rPr>
        <w:t>附件</w:t>
      </w:r>
      <w:r>
        <w:rPr>
          <w:rStyle w:val="54"/>
          <w:rFonts w:hint="eastAsia"/>
          <w:b/>
          <w:bCs/>
          <w:highlight w:val="none"/>
          <w:lang w:val="en-US" w:eastAsia="zh-CN"/>
        </w:rPr>
        <w:t>5</w:t>
      </w:r>
      <w:r>
        <w:rPr>
          <w:rStyle w:val="54"/>
          <w:b/>
          <w:bCs/>
          <w:highlight w:val="none"/>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8" w:name="_Toc30221"/>
      <w:bookmarkStart w:id="129" w:name="_Toc7760"/>
      <w:bookmarkStart w:id="130" w:name="_Toc18934"/>
      <w:bookmarkStart w:id="131" w:name="_Toc15219"/>
      <w:r>
        <w:rPr>
          <w:rFonts w:hint="eastAsia" w:ascii="仿宋" w:hAnsi="仿宋" w:eastAsia="仿宋" w:cs="仿宋"/>
          <w:sz w:val="24"/>
          <w:highlight w:val="none"/>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32" w:name="_Toc8480"/>
      <w:bookmarkStart w:id="133" w:name="_Toc7968"/>
      <w:bookmarkStart w:id="134" w:name="_Toc14457"/>
      <w:bookmarkStart w:id="135" w:name="_Toc7829"/>
      <w:r>
        <w:rPr>
          <w:rFonts w:hint="eastAsia" w:ascii="仿宋" w:hAnsi="仿宋" w:eastAsia="仿宋" w:cs="仿宋"/>
          <w:sz w:val="24"/>
          <w:highlight w:val="none"/>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（1）重新评估乙方的</w:t>
      </w:r>
      <w:r>
        <w:rPr>
          <w:rFonts w:hint="eastAsia" w:ascii="仿宋" w:hAnsi="仿宋" w:eastAsia="仿宋" w:cs="仿宋"/>
          <w:sz w:val="24"/>
          <w:highlight w:val="none"/>
          <w:lang w:eastAsia="zh-CN"/>
        </w:rPr>
        <w:t>入围资格</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36" w:name="_Toc16653"/>
      <w:bookmarkStart w:id="137" w:name="_Toc19041"/>
      <w:bookmarkStart w:id="138" w:name="_Toc23806"/>
      <w:bookmarkStart w:id="139" w:name="_Toc5095"/>
      <w:r>
        <w:rPr>
          <w:rFonts w:hint="eastAsia" w:ascii="仿宋" w:hAnsi="仿宋" w:eastAsia="仿宋" w:cs="仿宋"/>
          <w:sz w:val="24"/>
          <w:highlight w:val="none"/>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2、本协议</w:t>
      </w:r>
      <w:bookmarkStart w:id="140" w:name="_Toc13720"/>
      <w:bookmarkStart w:id="141" w:name="_Toc17953"/>
      <w:bookmarkStart w:id="142" w:name="_Toc24037"/>
      <w:bookmarkStart w:id="143" w:name="_Toc13196"/>
      <w:r>
        <w:rPr>
          <w:rFonts w:hint="eastAsia" w:ascii="仿宋" w:hAnsi="仿宋" w:eastAsia="仿宋" w:cs="仿宋"/>
          <w:sz w:val="24"/>
          <w:highlight w:val="none"/>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bookmarkStart w:id="144" w:name="_Toc3102"/>
      <w:bookmarkStart w:id="145" w:name="_Toc7190"/>
      <w:bookmarkStart w:id="146" w:name="_Toc13749"/>
      <w:bookmarkStart w:id="147" w:name="_Toc13014"/>
      <w:r>
        <w:rPr>
          <w:rFonts w:hint="eastAsia" w:ascii="仿宋" w:hAnsi="仿宋" w:eastAsia="仿宋" w:cs="仿宋"/>
          <w:sz w:val="24"/>
          <w:highlight w:val="none"/>
          <w:lang w:eastAsia="zh-CN"/>
        </w:rPr>
        <w:t>四</w:t>
      </w:r>
      <w:r>
        <w:rPr>
          <w:rFonts w:hint="eastAsia" w:ascii="仿宋" w:hAnsi="仿宋" w:eastAsia="仿宋" w:cs="仿宋"/>
          <w:sz w:val="24"/>
          <w:highlight w:val="none"/>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本协议一式两份，双方各执一份，自双方签字、盖章之日起生效。</w:t>
      </w:r>
    </w:p>
    <w:p>
      <w:pPr>
        <w:spacing w:line="384" w:lineRule="exact"/>
        <w:jc w:val="left"/>
        <w:rPr>
          <w:rFonts w:hint="eastAsia" w:ascii="仿宋" w:hAnsi="仿宋" w:eastAsia="仿宋" w:cs="仿宋"/>
          <w:sz w:val="24"/>
          <w:highlight w:val="none"/>
        </w:rPr>
      </w:pPr>
    </w:p>
    <w:p>
      <w:pPr>
        <w:spacing w:line="384" w:lineRule="exact"/>
        <w:jc w:val="left"/>
        <w:rPr>
          <w:rFonts w:hint="eastAsia"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乙方： </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代表签字：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代表签字：</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盖章：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盖章：</w:t>
      </w:r>
    </w:p>
    <w:p>
      <w:pPr>
        <w:spacing w:line="480" w:lineRule="auto"/>
        <w:jc w:val="left"/>
        <w:rPr>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w:t>
      </w:r>
    </w:p>
    <w:p>
      <w:pPr>
        <w:pStyle w:val="13"/>
        <w:rPr>
          <w:rFonts w:hint="default"/>
          <w:highlight w:val="none"/>
          <w:lang w:val="en-US" w:eastAsia="zh-CN"/>
        </w:rPr>
      </w:pPr>
    </w:p>
    <w:p>
      <w:pPr>
        <w:keepNext w:val="0"/>
        <w:keepLines w:val="0"/>
        <w:pageBreakBefore w:val="0"/>
        <w:numPr>
          <w:ilvl w:val="0"/>
          <w:numId w:val="2"/>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highlight w:val="none"/>
          <w:lang w:eastAsia="zh-CN"/>
        </w:rPr>
      </w:pPr>
      <w:r>
        <w:rPr>
          <w:rFonts w:hint="eastAsia" w:ascii="宋体" w:cs="宋体"/>
          <w:b/>
          <w:bCs/>
          <w:snapToGrid w:val="0"/>
          <w:kern w:val="0"/>
          <w:sz w:val="44"/>
          <w:szCs w:val="44"/>
          <w:highlight w:val="none"/>
          <w:lang w:eastAsia="zh-CN"/>
        </w:rPr>
        <w:t>技术要求</w:t>
      </w:r>
    </w:p>
    <w:p>
      <w:pPr>
        <w:pStyle w:val="13"/>
        <w:widowControl w:val="0"/>
        <w:numPr>
          <w:ilvl w:val="0"/>
          <w:numId w:val="0"/>
        </w:numPr>
        <w:spacing w:after="120"/>
        <w:jc w:val="both"/>
        <w:rPr>
          <w:rFonts w:hint="eastAsia"/>
          <w:highlight w:val="none"/>
          <w:lang w:eastAsia="zh-CN"/>
        </w:rPr>
      </w:pPr>
    </w:p>
    <w:p>
      <w:pPr>
        <w:spacing w:line="480" w:lineRule="exact"/>
        <w:ind w:firstLine="482" w:firstLineChars="200"/>
        <w:rPr>
          <w:rFonts w:hAnsi="宋体"/>
          <w:b/>
          <w:color w:val="000000"/>
          <w:sz w:val="24"/>
        </w:rPr>
      </w:pPr>
      <w:r>
        <w:rPr>
          <w:rFonts w:hint="eastAsia" w:hAnsi="宋体"/>
          <w:b/>
          <w:color w:val="000000"/>
          <w:sz w:val="24"/>
        </w:rPr>
        <w:t>一</w:t>
      </w:r>
      <w:r>
        <w:rPr>
          <w:rFonts w:hAnsi="宋体"/>
          <w:b/>
          <w:color w:val="000000"/>
          <w:sz w:val="24"/>
        </w:rPr>
        <w:t>、</w:t>
      </w:r>
      <w:r>
        <w:rPr>
          <w:rFonts w:hint="eastAsia" w:hAnsi="宋体"/>
          <w:b/>
          <w:color w:val="000000"/>
          <w:sz w:val="24"/>
        </w:rPr>
        <w:t>总则</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本技术要求适用于高层建筑直连供暖机组的功能设计、结构、性能等方面的技术要求。</w:t>
      </w:r>
    </w:p>
    <w:p>
      <w:pPr>
        <w:pStyle w:val="67"/>
        <w:adjustRightInd w:val="0"/>
        <w:snapToGrid w:val="0"/>
        <w:spacing w:line="360" w:lineRule="auto"/>
        <w:ind w:left="105" w:leftChars="50" w:firstLine="360" w:firstLineChars="150"/>
        <w:jc w:val="left"/>
        <w:rPr>
          <w:rFonts w:hAnsi="宋体"/>
          <w:color w:val="000000"/>
          <w:sz w:val="24"/>
        </w:rPr>
      </w:pPr>
      <w:r>
        <w:rPr>
          <w:rFonts w:hint="eastAsia" w:hAnsi="宋体"/>
          <w:color w:val="000000"/>
          <w:sz w:val="24"/>
        </w:rPr>
        <w:t>第一条 本技术要求提出的是最低限度的技术要求，并未对一切部件作出详细规定，也未充分引述有关标准和规范的条文。供货方所供产品、技术应在符合相关国内标准前提下，同时满足本技术要求。</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第二条  供方对其所提供的设备及技术负全责。</w:t>
      </w:r>
    </w:p>
    <w:p>
      <w:pPr>
        <w:spacing w:line="480" w:lineRule="exact"/>
        <w:ind w:firstLine="480" w:firstLineChars="200"/>
        <w:rPr>
          <w:rFonts w:hint="eastAsia" w:hAnsi="宋体"/>
          <w:b/>
          <w:color w:val="000000"/>
          <w:sz w:val="24"/>
        </w:rPr>
      </w:pPr>
      <w:r>
        <w:rPr>
          <w:rFonts w:hint="eastAsia" w:hAnsi="宋体"/>
          <w:color w:val="000000"/>
          <w:sz w:val="24"/>
        </w:rPr>
        <w:t>第三条  本技术要求所使用的标准若与供方执行的标准发生矛盾，按较严格的标准执行。</w:t>
      </w:r>
    </w:p>
    <w:p>
      <w:pPr>
        <w:spacing w:line="480" w:lineRule="exact"/>
        <w:ind w:firstLine="482" w:firstLineChars="200"/>
        <w:rPr>
          <w:rFonts w:hint="eastAsia" w:hAnsi="宋体"/>
          <w:b/>
          <w:color w:val="000000"/>
          <w:sz w:val="24"/>
          <w:lang w:val="en-US" w:eastAsia="zh-CN"/>
        </w:rPr>
      </w:pPr>
      <w:r>
        <w:rPr>
          <w:rFonts w:hint="eastAsia" w:hAnsi="宋体"/>
          <w:b/>
          <w:color w:val="000000"/>
          <w:sz w:val="24"/>
          <w:lang w:val="en-US" w:eastAsia="zh-CN"/>
        </w:rPr>
        <w:t>二、机组参数</w:t>
      </w:r>
    </w:p>
    <w:tbl>
      <w:tblPr>
        <w:tblStyle w:val="30"/>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65"/>
        <w:gridCol w:w="683"/>
        <w:gridCol w:w="3267"/>
        <w:gridCol w:w="78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500" w:lineRule="exact"/>
              <w:jc w:val="center"/>
              <w:rPr>
                <w:rFonts w:hint="eastAsia" w:ascii="微软雅黑" w:hAnsi="微软雅黑" w:eastAsia="微软雅黑"/>
                <w:sz w:val="21"/>
                <w:szCs w:val="21"/>
                <w:vertAlign w:val="baseline"/>
                <w:lang w:val="en-US" w:eastAsia="zh-CN"/>
              </w:rPr>
            </w:pPr>
            <w:bookmarkStart w:id="148" w:name="_Hlk139610666"/>
            <w:r>
              <w:rPr>
                <w:rFonts w:hint="eastAsia" w:ascii="微软雅黑" w:hAnsi="微软雅黑" w:eastAsia="微软雅黑"/>
                <w:sz w:val="21"/>
                <w:szCs w:val="21"/>
                <w:vertAlign w:val="baseline"/>
                <w:lang w:val="en-US" w:eastAsia="zh-CN"/>
              </w:rPr>
              <w:t>序号</w:t>
            </w:r>
          </w:p>
        </w:tc>
        <w:tc>
          <w:tcPr>
            <w:tcW w:w="2565"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位置</w:t>
            </w:r>
          </w:p>
        </w:tc>
        <w:tc>
          <w:tcPr>
            <w:tcW w:w="683"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单位</w:t>
            </w:r>
          </w:p>
        </w:tc>
        <w:tc>
          <w:tcPr>
            <w:tcW w:w="3267"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主要设备参数</w:t>
            </w:r>
          </w:p>
        </w:tc>
        <w:tc>
          <w:tcPr>
            <w:tcW w:w="787"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数量</w:t>
            </w:r>
          </w:p>
        </w:tc>
        <w:tc>
          <w:tcPr>
            <w:tcW w:w="786" w:type="dxa"/>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75" w:type="dxa"/>
            <w:vMerge w:val="restart"/>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565" w:type="dxa"/>
            <w:vMerge w:val="restart"/>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A地块</w:t>
            </w:r>
            <w:r>
              <w:rPr>
                <w:rFonts w:hint="eastAsia" w:ascii="宋体" w:hAnsi="宋体" w:eastAsia="宋体" w:cs="宋体"/>
                <w:sz w:val="21"/>
                <w:szCs w:val="21"/>
                <w:vertAlign w:val="baseline"/>
                <w:lang w:val="en-US" w:eastAsia="zh-CN"/>
              </w:rPr>
              <w:t>一期东地块热力站</w:t>
            </w:r>
          </w:p>
        </w:tc>
        <w:tc>
          <w:tcPr>
            <w:tcW w:w="683" w:type="dxa"/>
            <w:vMerge w:val="restart"/>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3267" w:type="dxa"/>
            <w:vAlign w:val="center"/>
          </w:tcPr>
          <w:p>
            <w:pPr>
              <w:spacing w:line="500" w:lineRule="exact"/>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高区直连加压泵</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Q=50t/h H=20m N=5.5kW</w:t>
            </w:r>
            <w:r>
              <w:rPr>
                <w:rFonts w:hint="eastAsia" w:ascii="宋体" w:hAnsi="宋体" w:cs="宋体"/>
                <w:sz w:val="21"/>
                <w:szCs w:val="21"/>
                <w:vertAlign w:val="baseline"/>
                <w:lang w:val="en-US" w:eastAsia="zh-CN"/>
              </w:rPr>
              <w:t>,水泵进口压力1.0MPa，承压1.6MPa</w:t>
            </w:r>
          </w:p>
        </w:tc>
        <w:tc>
          <w:tcPr>
            <w:tcW w:w="787" w:type="dxa"/>
            <w:vMerge w:val="restart"/>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786" w:type="dxa"/>
            <w:vMerge w:val="restart"/>
            <w:vAlign w:val="center"/>
          </w:tcPr>
          <w:p>
            <w:pPr>
              <w:spacing w:line="500" w:lineRule="exact"/>
              <w:jc w:val="cente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75" w:type="dxa"/>
            <w:vMerge w:val="continue"/>
            <w:vAlign w:val="center"/>
          </w:tcPr>
          <w:p>
            <w:pPr>
              <w:spacing w:line="500" w:lineRule="exact"/>
              <w:jc w:val="both"/>
            </w:pPr>
          </w:p>
        </w:tc>
        <w:tc>
          <w:tcPr>
            <w:tcW w:w="2565" w:type="dxa"/>
            <w:vMerge w:val="continue"/>
            <w:vAlign w:val="center"/>
          </w:tcPr>
          <w:p>
            <w:pPr>
              <w:spacing w:line="500" w:lineRule="exact"/>
              <w:jc w:val="both"/>
            </w:pPr>
          </w:p>
        </w:tc>
        <w:tc>
          <w:tcPr>
            <w:tcW w:w="683" w:type="dxa"/>
            <w:vMerge w:val="continue"/>
            <w:vAlign w:val="center"/>
          </w:tcPr>
          <w:p>
            <w:pPr>
              <w:spacing w:line="500" w:lineRule="exact"/>
              <w:jc w:val="both"/>
            </w:pPr>
          </w:p>
        </w:tc>
        <w:tc>
          <w:tcPr>
            <w:tcW w:w="3267" w:type="dxa"/>
            <w:vAlign w:val="center"/>
          </w:tcPr>
          <w:p>
            <w:pPr>
              <w:spacing w:line="500" w:lineRule="exact"/>
              <w:jc w:val="both"/>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减压隔断装置</w:t>
            </w:r>
          </w:p>
        </w:tc>
        <w:tc>
          <w:tcPr>
            <w:tcW w:w="787" w:type="dxa"/>
            <w:vMerge w:val="continue"/>
            <w:vAlign w:val="center"/>
          </w:tcPr>
          <w:p>
            <w:pPr>
              <w:spacing w:line="500" w:lineRule="exact"/>
              <w:jc w:val="both"/>
              <w:rPr>
                <w:rFonts w:hint="eastAsia" w:ascii="宋体" w:hAnsi="宋体" w:eastAsia="宋体" w:cs="宋体"/>
                <w:sz w:val="21"/>
                <w:szCs w:val="21"/>
                <w:vertAlign w:val="baseline"/>
                <w:lang w:val="en-US" w:eastAsia="zh-CN"/>
              </w:rPr>
            </w:pPr>
          </w:p>
        </w:tc>
        <w:tc>
          <w:tcPr>
            <w:tcW w:w="786" w:type="dxa"/>
            <w:vMerge w:val="continue"/>
            <w:vAlign w:val="center"/>
          </w:tcPr>
          <w:p>
            <w:pPr>
              <w:spacing w:line="500" w:lineRule="exact"/>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5"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2</w:t>
            </w:r>
          </w:p>
        </w:tc>
        <w:tc>
          <w:tcPr>
            <w:tcW w:w="2565"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B地块</w:t>
            </w:r>
            <w:r>
              <w:rPr>
                <w:rFonts w:hint="eastAsia" w:ascii="宋体" w:hAnsi="宋体" w:eastAsia="宋体" w:cs="宋体"/>
                <w:sz w:val="21"/>
                <w:szCs w:val="21"/>
                <w:vertAlign w:val="baseline"/>
                <w:lang w:val="en-US" w:eastAsia="zh-CN"/>
              </w:rPr>
              <w:t>一期</w:t>
            </w:r>
            <w:r>
              <w:rPr>
                <w:rFonts w:hint="eastAsia" w:ascii="宋体" w:hAnsi="宋体" w:cs="宋体"/>
                <w:sz w:val="21"/>
                <w:szCs w:val="21"/>
                <w:vertAlign w:val="baseline"/>
                <w:lang w:val="en-US" w:eastAsia="zh-CN"/>
              </w:rPr>
              <w:t>西</w:t>
            </w:r>
            <w:r>
              <w:rPr>
                <w:rFonts w:hint="eastAsia" w:ascii="宋体" w:hAnsi="宋体" w:eastAsia="宋体" w:cs="宋体"/>
                <w:sz w:val="21"/>
                <w:szCs w:val="21"/>
                <w:vertAlign w:val="baseline"/>
                <w:lang w:val="en-US" w:eastAsia="zh-CN"/>
              </w:rPr>
              <w:t>地块热力站</w:t>
            </w:r>
          </w:p>
        </w:tc>
        <w:tc>
          <w:tcPr>
            <w:tcW w:w="683"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267" w:type="dxa"/>
            <w:vAlign w:val="center"/>
          </w:tcPr>
          <w:p>
            <w:pPr>
              <w:spacing w:line="500" w:lineRule="exact"/>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高区直连加压泵</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Q=112t/h H=23m N=11kW</w:t>
            </w:r>
            <w:r>
              <w:rPr>
                <w:rFonts w:hint="eastAsia" w:ascii="宋体" w:hAnsi="宋体" w:cs="宋体"/>
                <w:sz w:val="21"/>
                <w:szCs w:val="21"/>
                <w:vertAlign w:val="baseline"/>
                <w:lang w:val="en-US" w:eastAsia="zh-CN"/>
              </w:rPr>
              <w:t>,水泵进口压力1.0MPa，承压1.6MPa</w:t>
            </w:r>
          </w:p>
        </w:tc>
        <w:tc>
          <w:tcPr>
            <w:tcW w:w="787"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786" w:type="dxa"/>
            <w:vMerge w:val="restart"/>
            <w:vAlign w:val="center"/>
          </w:tcPr>
          <w:p>
            <w:pPr>
              <w:spacing w:line="500" w:lineRule="exact"/>
              <w:jc w:val="cente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5" w:type="dxa"/>
            <w:vMerge w:val="continue"/>
            <w:vAlign w:val="center"/>
          </w:tcPr>
          <w:p>
            <w:pPr>
              <w:spacing w:line="500" w:lineRule="exact"/>
              <w:jc w:val="center"/>
            </w:pPr>
          </w:p>
        </w:tc>
        <w:tc>
          <w:tcPr>
            <w:tcW w:w="2565" w:type="dxa"/>
            <w:vMerge w:val="continue"/>
            <w:vAlign w:val="center"/>
          </w:tcPr>
          <w:p>
            <w:pPr>
              <w:spacing w:line="500" w:lineRule="exact"/>
              <w:jc w:val="center"/>
            </w:pPr>
          </w:p>
        </w:tc>
        <w:tc>
          <w:tcPr>
            <w:tcW w:w="683" w:type="dxa"/>
            <w:vMerge w:val="continue"/>
            <w:vAlign w:val="center"/>
          </w:tcPr>
          <w:p>
            <w:pPr>
              <w:spacing w:line="500" w:lineRule="exact"/>
              <w:jc w:val="center"/>
            </w:pPr>
          </w:p>
        </w:tc>
        <w:tc>
          <w:tcPr>
            <w:tcW w:w="3267" w:type="dxa"/>
            <w:vAlign w:val="center"/>
          </w:tcPr>
          <w:p>
            <w:pPr>
              <w:spacing w:line="500" w:lineRule="exact"/>
              <w:jc w:val="both"/>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减压隔断装置</w:t>
            </w:r>
          </w:p>
        </w:tc>
        <w:tc>
          <w:tcPr>
            <w:tcW w:w="787" w:type="dxa"/>
            <w:vMerge w:val="continue"/>
            <w:vAlign w:val="center"/>
          </w:tcPr>
          <w:p>
            <w:pPr>
              <w:spacing w:line="500" w:lineRule="exact"/>
              <w:jc w:val="center"/>
              <w:rPr>
                <w:rFonts w:hint="default" w:ascii="宋体" w:hAnsi="宋体" w:eastAsia="宋体" w:cs="宋体"/>
                <w:kern w:val="2"/>
                <w:sz w:val="21"/>
                <w:szCs w:val="21"/>
                <w:vertAlign w:val="baseline"/>
                <w:lang w:val="en-US" w:eastAsia="zh-CN" w:bidi="ar-SA"/>
              </w:rPr>
            </w:pPr>
          </w:p>
        </w:tc>
        <w:tc>
          <w:tcPr>
            <w:tcW w:w="786" w:type="dxa"/>
            <w:vMerge w:val="continue"/>
            <w:vAlign w:val="center"/>
          </w:tcPr>
          <w:p>
            <w:pPr>
              <w:spacing w:line="500" w:lineRule="exact"/>
              <w:jc w:val="center"/>
              <w:rPr>
                <w:rFonts w:hint="default"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75" w:type="dxa"/>
            <w:vMerge w:val="restart"/>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2565"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C</w:t>
            </w:r>
            <w:r>
              <w:rPr>
                <w:rFonts w:hint="eastAsia" w:ascii="宋体" w:hAnsi="宋体" w:cs="宋体"/>
                <w:sz w:val="21"/>
                <w:szCs w:val="21"/>
                <w:vertAlign w:val="baseline"/>
                <w:lang w:val="en-US" w:eastAsia="zh-CN"/>
              </w:rPr>
              <w:t>地块</w:t>
            </w:r>
            <w:r>
              <w:rPr>
                <w:rFonts w:hint="eastAsia" w:ascii="宋体" w:hAnsi="宋体" w:eastAsia="宋体" w:cs="宋体"/>
                <w:kern w:val="2"/>
                <w:sz w:val="21"/>
                <w:szCs w:val="21"/>
                <w:vertAlign w:val="baseline"/>
                <w:lang w:val="en-US" w:eastAsia="zh-CN" w:bidi="ar-SA"/>
              </w:rPr>
              <w:t>二期1地块热力站</w:t>
            </w:r>
          </w:p>
        </w:tc>
        <w:tc>
          <w:tcPr>
            <w:tcW w:w="683"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267" w:type="dxa"/>
            <w:vAlign w:val="center"/>
          </w:tcPr>
          <w:p>
            <w:pPr>
              <w:spacing w:line="500" w:lineRule="exact"/>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高区直连加压泵</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Q=50t/h H=20m N=4kW</w:t>
            </w:r>
            <w:r>
              <w:rPr>
                <w:rFonts w:hint="eastAsia" w:ascii="宋体" w:hAnsi="宋体" w:cs="宋体"/>
                <w:sz w:val="21"/>
                <w:szCs w:val="21"/>
                <w:vertAlign w:val="baseline"/>
                <w:lang w:val="en-US" w:eastAsia="zh-CN"/>
              </w:rPr>
              <w:t>,水泵进口压力1.0MPa，承压1.6MPa</w:t>
            </w:r>
          </w:p>
        </w:tc>
        <w:tc>
          <w:tcPr>
            <w:tcW w:w="787" w:type="dxa"/>
            <w:vMerge w:val="restart"/>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786" w:type="dxa"/>
            <w:vMerge w:val="restart"/>
            <w:vAlign w:val="center"/>
          </w:tcPr>
          <w:p>
            <w:pPr>
              <w:spacing w:line="500" w:lineRule="exact"/>
              <w:jc w:val="center"/>
              <w:rPr>
                <w:rFonts w:hint="eastAsia" w:ascii="宋体" w:hAnsi="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75" w:type="dxa"/>
            <w:vMerge w:val="continue"/>
            <w:vAlign w:val="center"/>
          </w:tcPr>
          <w:p>
            <w:pPr>
              <w:spacing w:line="500" w:lineRule="exact"/>
              <w:jc w:val="both"/>
            </w:pPr>
          </w:p>
        </w:tc>
        <w:tc>
          <w:tcPr>
            <w:tcW w:w="2565" w:type="dxa"/>
            <w:vMerge w:val="continue"/>
            <w:vAlign w:val="center"/>
          </w:tcPr>
          <w:p>
            <w:pPr>
              <w:spacing w:line="500" w:lineRule="exact"/>
              <w:jc w:val="both"/>
            </w:pPr>
          </w:p>
        </w:tc>
        <w:tc>
          <w:tcPr>
            <w:tcW w:w="683" w:type="dxa"/>
            <w:vMerge w:val="continue"/>
            <w:vAlign w:val="center"/>
          </w:tcPr>
          <w:p>
            <w:pPr>
              <w:spacing w:line="500" w:lineRule="exact"/>
              <w:jc w:val="both"/>
            </w:pPr>
          </w:p>
        </w:tc>
        <w:tc>
          <w:tcPr>
            <w:tcW w:w="3267" w:type="dxa"/>
            <w:vAlign w:val="center"/>
          </w:tcPr>
          <w:p>
            <w:pPr>
              <w:spacing w:line="500" w:lineRule="exact"/>
              <w:jc w:val="both"/>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减压隔断装置</w:t>
            </w:r>
          </w:p>
        </w:tc>
        <w:tc>
          <w:tcPr>
            <w:tcW w:w="787" w:type="dxa"/>
            <w:vMerge w:val="continue"/>
            <w:vAlign w:val="center"/>
          </w:tcPr>
          <w:p>
            <w:pPr>
              <w:spacing w:line="500" w:lineRule="exact"/>
              <w:jc w:val="both"/>
              <w:rPr>
                <w:rFonts w:hint="eastAsia" w:ascii="宋体" w:hAnsi="宋体" w:eastAsia="宋体" w:cs="宋体"/>
                <w:sz w:val="21"/>
                <w:szCs w:val="21"/>
                <w:vertAlign w:val="baseline"/>
                <w:lang w:val="en-US" w:eastAsia="zh-CN"/>
              </w:rPr>
            </w:pPr>
          </w:p>
        </w:tc>
        <w:tc>
          <w:tcPr>
            <w:tcW w:w="786" w:type="dxa"/>
            <w:vMerge w:val="continue"/>
            <w:vAlign w:val="center"/>
          </w:tcPr>
          <w:p>
            <w:pPr>
              <w:spacing w:line="500" w:lineRule="exact"/>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5" w:type="dxa"/>
            <w:vMerge w:val="restart"/>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w:t>
            </w:r>
          </w:p>
          <w:p>
            <w:pPr>
              <w:spacing w:line="500" w:lineRule="exact"/>
              <w:jc w:val="center"/>
              <w:rPr>
                <w:rFonts w:hint="default" w:ascii="宋体" w:hAnsi="宋体" w:eastAsia="宋体" w:cs="宋体"/>
                <w:sz w:val="21"/>
                <w:szCs w:val="21"/>
                <w:vertAlign w:val="baseline"/>
                <w:lang w:val="en-US" w:eastAsia="zh-CN"/>
              </w:rPr>
            </w:pPr>
          </w:p>
        </w:tc>
        <w:tc>
          <w:tcPr>
            <w:tcW w:w="2565" w:type="dxa"/>
            <w:vMerge w:val="restart"/>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kern w:val="2"/>
                <w:sz w:val="21"/>
                <w:szCs w:val="21"/>
                <w:vertAlign w:val="baseline"/>
                <w:lang w:val="en-US" w:eastAsia="zh-CN" w:bidi="ar-SA"/>
              </w:rPr>
              <w:t>D</w:t>
            </w:r>
            <w:r>
              <w:rPr>
                <w:rFonts w:hint="eastAsia" w:ascii="宋体" w:hAnsi="宋体" w:cs="宋体"/>
                <w:sz w:val="21"/>
                <w:szCs w:val="21"/>
                <w:vertAlign w:val="baseline"/>
                <w:lang w:val="en-US" w:eastAsia="zh-CN"/>
              </w:rPr>
              <w:t>地块</w:t>
            </w:r>
            <w:r>
              <w:rPr>
                <w:rFonts w:hint="eastAsia" w:ascii="宋体" w:hAnsi="宋体" w:eastAsia="宋体" w:cs="宋体"/>
                <w:kern w:val="2"/>
                <w:sz w:val="21"/>
                <w:szCs w:val="21"/>
                <w:vertAlign w:val="baseline"/>
                <w:lang w:val="en-US" w:eastAsia="zh-CN" w:bidi="ar-SA"/>
              </w:rPr>
              <w:t>二期2地块热力站</w:t>
            </w:r>
          </w:p>
        </w:tc>
        <w:tc>
          <w:tcPr>
            <w:tcW w:w="683"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p>
            <w:pPr>
              <w:spacing w:line="500" w:lineRule="exact"/>
              <w:jc w:val="center"/>
              <w:rPr>
                <w:rFonts w:hint="default" w:ascii="宋体" w:hAnsi="宋体" w:eastAsia="宋体" w:cs="宋体"/>
                <w:sz w:val="21"/>
                <w:szCs w:val="21"/>
                <w:vertAlign w:val="baseline"/>
                <w:lang w:val="en-US" w:eastAsia="zh-CN"/>
              </w:rPr>
            </w:pPr>
          </w:p>
        </w:tc>
        <w:tc>
          <w:tcPr>
            <w:tcW w:w="3267" w:type="dxa"/>
            <w:vAlign w:val="center"/>
          </w:tcPr>
          <w:p>
            <w:pPr>
              <w:spacing w:line="500" w:lineRule="exact"/>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高区直连加压泵</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Q=60t/h H=24m N=7.5kW</w:t>
            </w:r>
            <w:r>
              <w:rPr>
                <w:rFonts w:hint="eastAsia" w:ascii="宋体" w:hAnsi="宋体" w:cs="宋体"/>
                <w:sz w:val="21"/>
                <w:szCs w:val="21"/>
                <w:vertAlign w:val="baseline"/>
                <w:lang w:val="en-US" w:eastAsia="zh-CN"/>
              </w:rPr>
              <w:t>,水泵进口压力1.0MPa，承压1.6MPa</w:t>
            </w:r>
          </w:p>
        </w:tc>
        <w:tc>
          <w:tcPr>
            <w:tcW w:w="787" w:type="dxa"/>
            <w:vMerge w:val="restart"/>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786" w:type="dxa"/>
            <w:vMerge w:val="restart"/>
            <w:vAlign w:val="center"/>
          </w:tcPr>
          <w:p>
            <w:pPr>
              <w:spacing w:line="500" w:lineRule="exact"/>
              <w:jc w:val="center"/>
              <w:rPr>
                <w:rFonts w:hint="eastAsia" w:ascii="宋体" w:hAnsi="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5" w:type="dxa"/>
            <w:vMerge w:val="continue"/>
            <w:vAlign w:val="center"/>
          </w:tcPr>
          <w:p>
            <w:pPr>
              <w:spacing w:line="500" w:lineRule="exact"/>
              <w:jc w:val="both"/>
            </w:pPr>
          </w:p>
        </w:tc>
        <w:tc>
          <w:tcPr>
            <w:tcW w:w="2565" w:type="dxa"/>
            <w:vMerge w:val="continue"/>
            <w:vAlign w:val="center"/>
          </w:tcPr>
          <w:p>
            <w:pPr>
              <w:spacing w:line="500" w:lineRule="exact"/>
              <w:jc w:val="both"/>
            </w:pPr>
          </w:p>
        </w:tc>
        <w:tc>
          <w:tcPr>
            <w:tcW w:w="683" w:type="dxa"/>
            <w:vMerge w:val="continue"/>
            <w:vAlign w:val="center"/>
          </w:tcPr>
          <w:p>
            <w:pPr>
              <w:spacing w:line="500" w:lineRule="exact"/>
              <w:jc w:val="both"/>
            </w:pPr>
          </w:p>
        </w:tc>
        <w:tc>
          <w:tcPr>
            <w:tcW w:w="3267" w:type="dxa"/>
            <w:vAlign w:val="center"/>
          </w:tcPr>
          <w:p>
            <w:pPr>
              <w:spacing w:line="500" w:lineRule="exact"/>
              <w:jc w:val="both"/>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减压隔断装置</w:t>
            </w:r>
          </w:p>
        </w:tc>
        <w:tc>
          <w:tcPr>
            <w:tcW w:w="787" w:type="dxa"/>
            <w:vMerge w:val="continue"/>
            <w:vAlign w:val="center"/>
          </w:tcPr>
          <w:p>
            <w:pPr>
              <w:spacing w:line="500" w:lineRule="exact"/>
              <w:jc w:val="both"/>
              <w:rPr>
                <w:rFonts w:hint="eastAsia" w:ascii="宋体" w:hAnsi="宋体" w:eastAsia="宋体" w:cs="宋体"/>
                <w:kern w:val="2"/>
                <w:sz w:val="21"/>
                <w:szCs w:val="21"/>
                <w:vertAlign w:val="baseline"/>
                <w:lang w:val="en-US" w:eastAsia="zh-CN" w:bidi="ar-SA"/>
              </w:rPr>
            </w:pPr>
          </w:p>
        </w:tc>
        <w:tc>
          <w:tcPr>
            <w:tcW w:w="786" w:type="dxa"/>
            <w:vMerge w:val="continue"/>
            <w:vAlign w:val="center"/>
          </w:tcPr>
          <w:p>
            <w:pPr>
              <w:spacing w:line="500" w:lineRule="exact"/>
              <w:jc w:val="both"/>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5" w:type="dxa"/>
            <w:vMerge w:val="restart"/>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5</w:t>
            </w:r>
          </w:p>
          <w:p>
            <w:pPr>
              <w:spacing w:line="500" w:lineRule="exact"/>
              <w:jc w:val="center"/>
              <w:rPr>
                <w:rFonts w:hint="default" w:ascii="宋体" w:hAnsi="宋体" w:eastAsia="宋体" w:cs="宋体"/>
                <w:kern w:val="2"/>
                <w:sz w:val="21"/>
                <w:szCs w:val="21"/>
                <w:vertAlign w:val="baseline"/>
                <w:lang w:val="en-US" w:eastAsia="zh-CN" w:bidi="ar-SA"/>
              </w:rPr>
            </w:pPr>
          </w:p>
        </w:tc>
        <w:tc>
          <w:tcPr>
            <w:tcW w:w="2565"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E</w:t>
            </w:r>
            <w:r>
              <w:rPr>
                <w:rFonts w:hint="eastAsia" w:ascii="宋体" w:hAnsi="宋体" w:cs="宋体"/>
                <w:sz w:val="21"/>
                <w:szCs w:val="21"/>
                <w:vertAlign w:val="baseline"/>
                <w:lang w:val="en-US" w:eastAsia="zh-CN"/>
              </w:rPr>
              <w:t>地块</w:t>
            </w:r>
            <w:r>
              <w:rPr>
                <w:rFonts w:hint="eastAsia" w:ascii="宋体" w:hAnsi="宋体" w:eastAsia="宋体" w:cs="宋体"/>
                <w:kern w:val="2"/>
                <w:sz w:val="21"/>
                <w:szCs w:val="21"/>
                <w:vertAlign w:val="baseline"/>
                <w:lang w:val="en-US" w:eastAsia="zh-CN" w:bidi="ar-SA"/>
              </w:rPr>
              <w:t>二期</w:t>
            </w:r>
            <w:r>
              <w:rPr>
                <w:rFonts w:hint="eastAsia" w:ascii="宋体" w:hAnsi="宋体" w:cs="宋体"/>
                <w:kern w:val="2"/>
                <w:sz w:val="21"/>
                <w:szCs w:val="21"/>
                <w:vertAlign w:val="baseline"/>
                <w:lang w:val="en-US" w:eastAsia="zh-CN" w:bidi="ar-SA"/>
              </w:rPr>
              <w:t>3</w:t>
            </w:r>
            <w:r>
              <w:rPr>
                <w:rFonts w:hint="eastAsia" w:ascii="宋体" w:hAnsi="宋体" w:eastAsia="宋体" w:cs="宋体"/>
                <w:kern w:val="2"/>
                <w:sz w:val="21"/>
                <w:szCs w:val="21"/>
                <w:vertAlign w:val="baseline"/>
                <w:lang w:val="en-US" w:eastAsia="zh-CN" w:bidi="ar-SA"/>
              </w:rPr>
              <w:t>地块热力站</w:t>
            </w:r>
          </w:p>
        </w:tc>
        <w:tc>
          <w:tcPr>
            <w:tcW w:w="683"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p>
            <w:pPr>
              <w:spacing w:line="500" w:lineRule="exact"/>
              <w:jc w:val="center"/>
              <w:rPr>
                <w:rFonts w:hint="eastAsia" w:ascii="宋体" w:hAnsi="宋体" w:eastAsia="宋体" w:cs="宋体"/>
                <w:kern w:val="2"/>
                <w:sz w:val="21"/>
                <w:szCs w:val="21"/>
                <w:vertAlign w:val="baseline"/>
                <w:lang w:val="en-US" w:eastAsia="zh-CN" w:bidi="ar-SA"/>
              </w:rPr>
            </w:pPr>
          </w:p>
        </w:tc>
        <w:tc>
          <w:tcPr>
            <w:tcW w:w="3267" w:type="dxa"/>
            <w:vAlign w:val="center"/>
          </w:tcPr>
          <w:p>
            <w:pPr>
              <w:spacing w:line="500" w:lineRule="exact"/>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高区直连加压泵</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Q=80t/h H=24m N=7.5kW</w:t>
            </w:r>
            <w:r>
              <w:rPr>
                <w:rFonts w:hint="eastAsia" w:ascii="宋体" w:hAnsi="宋体" w:cs="宋体"/>
                <w:sz w:val="21"/>
                <w:szCs w:val="21"/>
                <w:vertAlign w:val="baseline"/>
                <w:lang w:val="en-US" w:eastAsia="zh-CN"/>
              </w:rPr>
              <w:t>,水泵进口压力1.0MPa，承压1.6MPa</w:t>
            </w:r>
          </w:p>
        </w:tc>
        <w:tc>
          <w:tcPr>
            <w:tcW w:w="787" w:type="dxa"/>
            <w:vMerge w:val="restart"/>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786" w:type="dxa"/>
            <w:vMerge w:val="restart"/>
            <w:vAlign w:val="center"/>
          </w:tcPr>
          <w:p>
            <w:pPr>
              <w:spacing w:line="500" w:lineRule="exact"/>
              <w:jc w:val="center"/>
              <w:rPr>
                <w:rFonts w:hint="eastAsia" w:ascii="宋体" w:hAnsi="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5" w:type="dxa"/>
            <w:vMerge w:val="continue"/>
            <w:vAlign w:val="center"/>
          </w:tcPr>
          <w:p>
            <w:pPr>
              <w:spacing w:line="500" w:lineRule="exact"/>
              <w:jc w:val="center"/>
            </w:pPr>
          </w:p>
        </w:tc>
        <w:tc>
          <w:tcPr>
            <w:tcW w:w="2565" w:type="dxa"/>
            <w:vMerge w:val="continue"/>
            <w:vAlign w:val="center"/>
          </w:tcPr>
          <w:p>
            <w:pPr>
              <w:spacing w:line="500" w:lineRule="exact"/>
              <w:jc w:val="center"/>
            </w:pPr>
          </w:p>
        </w:tc>
        <w:tc>
          <w:tcPr>
            <w:tcW w:w="683" w:type="dxa"/>
            <w:vMerge w:val="continue"/>
            <w:vAlign w:val="center"/>
          </w:tcPr>
          <w:p>
            <w:pPr>
              <w:spacing w:line="500" w:lineRule="exact"/>
              <w:jc w:val="center"/>
            </w:pPr>
          </w:p>
        </w:tc>
        <w:tc>
          <w:tcPr>
            <w:tcW w:w="326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减压隔断装置</w:t>
            </w:r>
          </w:p>
        </w:tc>
        <w:tc>
          <w:tcPr>
            <w:tcW w:w="787" w:type="dxa"/>
            <w:vMerge w:val="continue"/>
            <w:vAlign w:val="center"/>
          </w:tcPr>
          <w:p>
            <w:pPr>
              <w:spacing w:line="500" w:lineRule="exact"/>
              <w:jc w:val="center"/>
              <w:rPr>
                <w:rFonts w:hint="eastAsia" w:ascii="宋体" w:hAnsi="宋体" w:eastAsia="宋体" w:cs="宋体"/>
                <w:kern w:val="2"/>
                <w:sz w:val="21"/>
                <w:szCs w:val="21"/>
                <w:vertAlign w:val="baseline"/>
                <w:lang w:val="en-US" w:eastAsia="zh-CN" w:bidi="ar-SA"/>
              </w:rPr>
            </w:pPr>
          </w:p>
        </w:tc>
        <w:tc>
          <w:tcPr>
            <w:tcW w:w="786" w:type="dxa"/>
            <w:vMerge w:val="continue"/>
            <w:vAlign w:val="center"/>
          </w:tcPr>
          <w:p>
            <w:pPr>
              <w:spacing w:line="50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5" w:type="dxa"/>
            <w:vAlign w:val="center"/>
          </w:tcPr>
          <w:p>
            <w:pPr>
              <w:spacing w:line="500" w:lineRule="exact"/>
              <w:jc w:val="center"/>
            </w:pPr>
          </w:p>
        </w:tc>
        <w:tc>
          <w:tcPr>
            <w:tcW w:w="2565" w:type="dxa"/>
            <w:vAlign w:val="center"/>
          </w:tcPr>
          <w:p>
            <w:pPr>
              <w:spacing w:line="500" w:lineRule="exact"/>
              <w:jc w:val="center"/>
              <w:rPr>
                <w:rFonts w:hint="eastAsia" w:eastAsia="宋体"/>
                <w:lang w:eastAsia="zh-CN"/>
              </w:rPr>
            </w:pPr>
            <w:r>
              <w:rPr>
                <w:rFonts w:hint="eastAsia"/>
                <w:lang w:eastAsia="zh-CN"/>
              </w:rPr>
              <w:t>合计</w:t>
            </w:r>
          </w:p>
        </w:tc>
        <w:tc>
          <w:tcPr>
            <w:tcW w:w="683" w:type="dxa"/>
            <w:vAlign w:val="center"/>
          </w:tcPr>
          <w:p>
            <w:pPr>
              <w:spacing w:line="500" w:lineRule="exact"/>
              <w:jc w:val="center"/>
            </w:pPr>
          </w:p>
        </w:tc>
        <w:tc>
          <w:tcPr>
            <w:tcW w:w="3267" w:type="dxa"/>
            <w:vAlign w:val="center"/>
          </w:tcPr>
          <w:p>
            <w:pPr>
              <w:spacing w:line="500" w:lineRule="exact"/>
              <w:jc w:val="center"/>
              <w:rPr>
                <w:rFonts w:hint="eastAsia" w:ascii="宋体" w:hAnsi="宋体" w:cs="宋体"/>
                <w:sz w:val="21"/>
                <w:szCs w:val="21"/>
                <w:vertAlign w:val="baseline"/>
                <w:lang w:val="en-US" w:eastAsia="zh-CN"/>
              </w:rPr>
            </w:pPr>
          </w:p>
        </w:tc>
        <w:tc>
          <w:tcPr>
            <w:tcW w:w="787"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p>
        </w:tc>
        <w:tc>
          <w:tcPr>
            <w:tcW w:w="786" w:type="dxa"/>
            <w:vAlign w:val="center"/>
          </w:tcPr>
          <w:p>
            <w:pPr>
              <w:spacing w:line="500" w:lineRule="exact"/>
              <w:jc w:val="center"/>
              <w:rPr>
                <w:rFonts w:hint="eastAsia" w:ascii="宋体" w:hAnsi="宋体" w:eastAsia="宋体" w:cs="宋体"/>
                <w:kern w:val="2"/>
                <w:sz w:val="21"/>
                <w:szCs w:val="21"/>
                <w:vertAlign w:val="baseline"/>
                <w:lang w:val="en-US" w:eastAsia="zh-CN" w:bidi="ar-SA"/>
              </w:rPr>
            </w:pPr>
          </w:p>
        </w:tc>
      </w:tr>
      <w:bookmarkEnd w:id="148"/>
    </w:tbl>
    <w:p>
      <w:pPr>
        <w:spacing w:line="480" w:lineRule="exact"/>
        <w:ind w:firstLine="482" w:firstLineChars="200"/>
        <w:rPr>
          <w:rFonts w:hint="default" w:hAnsi="宋体"/>
          <w:b/>
          <w:color w:val="000000"/>
          <w:sz w:val="24"/>
          <w:lang w:val="en-US" w:eastAsia="zh-CN"/>
        </w:rPr>
      </w:pPr>
      <w:r>
        <w:rPr>
          <w:rFonts w:hint="eastAsia" w:hAnsi="宋体"/>
          <w:b/>
          <w:color w:val="000000"/>
          <w:sz w:val="24"/>
          <w:lang w:val="en-US" w:eastAsia="zh-CN"/>
        </w:rPr>
        <w:t>加压水泵均为2台，一用一备。</w:t>
      </w:r>
    </w:p>
    <w:p>
      <w:pPr>
        <w:spacing w:line="480" w:lineRule="exact"/>
        <w:ind w:firstLine="482" w:firstLineChars="200"/>
        <w:rPr>
          <w:rFonts w:hAnsi="宋体"/>
          <w:b/>
          <w:color w:val="000000"/>
          <w:sz w:val="24"/>
        </w:rPr>
      </w:pPr>
      <w:r>
        <w:rPr>
          <w:rFonts w:hint="eastAsia" w:hAnsi="宋体"/>
          <w:b/>
          <w:color w:val="000000"/>
          <w:sz w:val="24"/>
          <w:lang w:val="en-US" w:eastAsia="zh-CN"/>
        </w:rPr>
        <w:t>三</w:t>
      </w:r>
      <w:r>
        <w:rPr>
          <w:rFonts w:hint="eastAsia" w:hAnsi="宋体"/>
          <w:b/>
          <w:color w:val="000000"/>
          <w:sz w:val="24"/>
        </w:rPr>
        <w:t>、技术规格要求：</w:t>
      </w:r>
    </w:p>
    <w:p>
      <w:pPr>
        <w:adjustRightInd w:val="0"/>
        <w:snapToGrid w:val="0"/>
        <w:spacing w:line="360" w:lineRule="auto"/>
        <w:ind w:firstLine="480" w:firstLineChars="200"/>
        <w:rPr>
          <w:rFonts w:hAnsi="宋体"/>
          <w:color w:val="000000"/>
          <w:sz w:val="24"/>
        </w:rPr>
      </w:pPr>
      <w:r>
        <w:rPr>
          <w:rFonts w:hint="eastAsia" w:hAnsi="宋体"/>
          <w:color w:val="000000"/>
          <w:sz w:val="24"/>
        </w:rPr>
        <w:t xml:space="preserve">第一条  </w:t>
      </w:r>
      <w:r>
        <w:rPr>
          <w:rFonts w:hint="eastAsia" w:hAnsi="宋体"/>
          <w:color w:val="000000"/>
          <w:sz w:val="24"/>
          <w:lang w:eastAsia="zh-CN"/>
        </w:rPr>
        <w:t>直连</w:t>
      </w:r>
      <w:r>
        <w:rPr>
          <w:rFonts w:hint="eastAsia" w:hAnsi="宋体"/>
          <w:color w:val="000000"/>
          <w:sz w:val="24"/>
        </w:rPr>
        <w:t>机组技术要求：</w:t>
      </w:r>
    </w:p>
    <w:p>
      <w:pPr>
        <w:adjustRightInd w:val="0"/>
        <w:snapToGrid w:val="0"/>
        <w:spacing w:line="360" w:lineRule="auto"/>
        <w:ind w:firstLine="480" w:firstLineChars="200"/>
        <w:rPr>
          <w:rFonts w:hAnsi="宋体"/>
          <w:color w:val="000000"/>
          <w:sz w:val="24"/>
        </w:rPr>
      </w:pPr>
      <w:r>
        <w:rPr>
          <w:rFonts w:hint="eastAsia" w:hAnsi="宋体"/>
          <w:color w:val="000000"/>
          <w:sz w:val="24"/>
        </w:rPr>
        <w:t>机组运行应安全、稳定。机组要满足叠压供水，减压回水，欠压保护，高低区平衡并网的基本要求。高区和低区无论在运行状态还是在停运状态，高区压力不能传递到低区，影响低区的安全。设置恢复供电后机组正常启动装置。</w:t>
      </w:r>
    </w:p>
    <w:p>
      <w:pPr>
        <w:adjustRightInd w:val="0"/>
        <w:snapToGrid w:val="0"/>
        <w:spacing w:line="360" w:lineRule="auto"/>
        <w:ind w:firstLine="480" w:firstLineChars="200"/>
        <w:rPr>
          <w:rFonts w:hAnsi="宋体"/>
          <w:color w:val="000000"/>
          <w:sz w:val="24"/>
        </w:rPr>
      </w:pPr>
      <w:r>
        <w:rPr>
          <w:rFonts w:hint="eastAsia" w:hAnsi="宋体"/>
          <w:color w:val="000000"/>
          <w:sz w:val="24"/>
        </w:rPr>
        <w:t xml:space="preserve">机组智能化程度高，应实现无人值守运行。  </w:t>
      </w:r>
    </w:p>
    <w:p>
      <w:pPr>
        <w:adjustRightInd w:val="0"/>
        <w:snapToGrid w:val="0"/>
        <w:spacing w:line="360" w:lineRule="auto"/>
        <w:ind w:firstLine="480" w:firstLineChars="200"/>
        <w:rPr>
          <w:rFonts w:hAnsi="宋体"/>
          <w:bCs/>
          <w:color w:val="000000"/>
          <w:sz w:val="24"/>
        </w:rPr>
      </w:pPr>
      <w:r>
        <w:rPr>
          <w:rFonts w:hint="eastAsia" w:hAnsi="宋体"/>
          <w:color w:val="000000"/>
          <w:sz w:val="24"/>
        </w:rPr>
        <w:t>机组应实现变频节能控制。机组设备占地小，应机电一体化设计，达到体积小、重量轻，安装、检修方便的要求</w:t>
      </w:r>
      <w:r>
        <w:rPr>
          <w:rFonts w:hint="eastAsia" w:hAnsi="宋体"/>
          <w:bCs/>
          <w:color w:val="000000"/>
          <w:sz w:val="24"/>
        </w:rPr>
        <w:t>。</w:t>
      </w:r>
    </w:p>
    <w:p>
      <w:pPr>
        <w:adjustRightInd w:val="0"/>
        <w:snapToGrid w:val="0"/>
        <w:spacing w:line="360" w:lineRule="auto"/>
        <w:ind w:firstLine="480" w:firstLineChars="200"/>
        <w:rPr>
          <w:rFonts w:hAnsi="宋体"/>
          <w:bCs/>
          <w:color w:val="000000"/>
          <w:sz w:val="24"/>
        </w:rPr>
      </w:pPr>
      <w:r>
        <w:rPr>
          <w:rFonts w:hint="eastAsia" w:hAnsi="宋体"/>
          <w:bCs/>
          <w:color w:val="000000"/>
          <w:sz w:val="24"/>
        </w:rPr>
        <w:t>噪音低。设备型号配置合理，运行噪音低，减震效果好。</w:t>
      </w:r>
    </w:p>
    <w:p>
      <w:pPr>
        <w:adjustRightInd w:val="0"/>
        <w:snapToGrid w:val="0"/>
        <w:spacing w:line="360" w:lineRule="auto"/>
        <w:ind w:firstLine="480" w:firstLineChars="200"/>
        <w:rPr>
          <w:rFonts w:hAnsi="宋体"/>
          <w:color w:val="000000"/>
          <w:sz w:val="24"/>
        </w:rPr>
      </w:pPr>
      <w:r>
        <w:rPr>
          <w:rFonts w:hint="eastAsia" w:hAnsi="宋体"/>
          <w:color w:val="000000"/>
          <w:sz w:val="24"/>
        </w:rPr>
        <w:t xml:space="preserve">第二条  </w:t>
      </w:r>
      <w:r>
        <w:rPr>
          <w:rFonts w:hint="eastAsia" w:hAnsi="宋体"/>
          <w:color w:val="000000"/>
          <w:sz w:val="24"/>
          <w:lang w:eastAsia="zh-CN"/>
        </w:rPr>
        <w:t>减压隔断</w:t>
      </w:r>
      <w:r>
        <w:rPr>
          <w:rFonts w:hint="eastAsia" w:hAnsi="宋体"/>
          <w:color w:val="000000"/>
          <w:sz w:val="24"/>
        </w:rPr>
        <w:t>设置</w:t>
      </w:r>
    </w:p>
    <w:p>
      <w:pPr>
        <w:adjustRightInd w:val="0"/>
        <w:snapToGrid w:val="0"/>
        <w:spacing w:line="360" w:lineRule="auto"/>
        <w:ind w:firstLine="480" w:firstLineChars="200"/>
        <w:rPr>
          <w:rFonts w:hAnsi="宋体"/>
          <w:color w:val="000000"/>
          <w:sz w:val="24"/>
        </w:rPr>
      </w:pPr>
      <w:r>
        <w:rPr>
          <w:rFonts w:hint="eastAsia" w:hAnsi="宋体"/>
          <w:color w:val="000000"/>
          <w:sz w:val="24"/>
        </w:rPr>
        <w:t>机组必需采用</w:t>
      </w:r>
      <w:r>
        <w:rPr>
          <w:rFonts w:hint="eastAsia" w:hAnsi="宋体"/>
          <w:color w:val="000000"/>
          <w:sz w:val="24"/>
          <w:lang w:eastAsia="zh-CN"/>
        </w:rPr>
        <w:t>阻断器</w:t>
      </w:r>
      <w:r>
        <w:rPr>
          <w:rFonts w:hint="eastAsia" w:hAnsi="宋体"/>
          <w:color w:val="000000"/>
          <w:sz w:val="24"/>
        </w:rPr>
        <w:t>，不允许采用简单的减压阀来进行减压和关断。装置必需具有水流顺向的自动开、关，减压、稳压功能。不得存在漏水、卡、堵，关不断等弊端。应达到如下调节功能：当外网流量、压力改变时，机组自动调节保证高区系统供水流量、压力不变；当高区系统流量发生变化时，机组自动调节供暖流量的同时回水压力与外网一致，充分满足用户热计量流量调节要求，不影响外网热媒压力，不影响低区用户的供热。</w:t>
      </w:r>
    </w:p>
    <w:p>
      <w:pPr>
        <w:adjustRightInd w:val="0"/>
        <w:snapToGrid w:val="0"/>
        <w:spacing w:line="360" w:lineRule="auto"/>
        <w:ind w:firstLine="480" w:firstLineChars="200"/>
        <w:rPr>
          <w:rFonts w:hAnsi="宋体"/>
          <w:color w:val="000000"/>
          <w:sz w:val="24"/>
        </w:rPr>
      </w:pPr>
      <w:r>
        <w:rPr>
          <w:rFonts w:hint="eastAsia" w:hAnsi="宋体"/>
          <w:color w:val="000000"/>
          <w:sz w:val="24"/>
        </w:rPr>
        <w:t>装置具有断电自锁功能，防水锤功能，泄压保护功能。</w:t>
      </w:r>
    </w:p>
    <w:p>
      <w:pPr>
        <w:adjustRightInd w:val="0"/>
        <w:snapToGrid w:val="0"/>
        <w:spacing w:line="360" w:lineRule="auto"/>
        <w:ind w:firstLine="480" w:firstLineChars="200"/>
        <w:rPr>
          <w:rFonts w:hAnsi="宋体"/>
          <w:color w:val="000000"/>
          <w:sz w:val="24"/>
        </w:rPr>
      </w:pPr>
      <w:r>
        <w:rPr>
          <w:rFonts w:hint="eastAsia" w:hAnsi="宋体"/>
          <w:color w:val="000000"/>
          <w:sz w:val="24"/>
        </w:rPr>
        <w:t>装置必须具有自阻断装置，防停电阻止失水功能。</w:t>
      </w:r>
    </w:p>
    <w:p>
      <w:pPr>
        <w:adjustRightInd w:val="0"/>
        <w:snapToGrid w:val="0"/>
        <w:spacing w:line="360" w:lineRule="auto"/>
        <w:ind w:firstLine="480" w:firstLineChars="200"/>
        <w:rPr>
          <w:rFonts w:hAnsi="宋体"/>
          <w:color w:val="000000"/>
          <w:sz w:val="24"/>
        </w:rPr>
      </w:pPr>
      <w:r>
        <w:rPr>
          <w:rFonts w:hint="eastAsia" w:hAnsi="宋体"/>
          <w:color w:val="000000"/>
          <w:sz w:val="24"/>
        </w:rPr>
        <w:t>设备不得采取减压阀+电磁（动）阀的简单结构实施减压。要求可靠减压关断不对低区产生影响。</w:t>
      </w:r>
    </w:p>
    <w:p>
      <w:pPr>
        <w:adjustRightInd w:val="0"/>
        <w:snapToGrid w:val="0"/>
        <w:spacing w:line="360" w:lineRule="auto"/>
        <w:ind w:firstLine="480" w:firstLineChars="200"/>
        <w:rPr>
          <w:rFonts w:hAnsi="宋体"/>
          <w:color w:val="000000"/>
          <w:sz w:val="24"/>
        </w:rPr>
      </w:pPr>
      <w:r>
        <w:rPr>
          <w:rFonts w:hint="eastAsia" w:hAnsi="宋体"/>
          <w:color w:val="000000"/>
          <w:sz w:val="24"/>
        </w:rPr>
        <w:t>本装置必须具有</w:t>
      </w:r>
      <w:r>
        <w:rPr>
          <w:rFonts w:hint="eastAsia" w:hAnsi="宋体"/>
          <w:color w:val="000000"/>
          <w:sz w:val="24"/>
          <w:lang w:eastAsia="zh-CN"/>
        </w:rPr>
        <w:t>良好</w:t>
      </w:r>
      <w:r>
        <w:rPr>
          <w:rFonts w:hint="eastAsia" w:hAnsi="宋体"/>
          <w:color w:val="000000"/>
          <w:sz w:val="24"/>
        </w:rPr>
        <w:t>的</w:t>
      </w:r>
      <w:r>
        <w:rPr>
          <w:rFonts w:hint="eastAsia" w:hAnsi="宋体"/>
          <w:color w:val="000000"/>
          <w:sz w:val="24"/>
          <w:lang w:eastAsia="zh-CN"/>
        </w:rPr>
        <w:t>减压，隔断</w:t>
      </w:r>
      <w:r>
        <w:rPr>
          <w:rFonts w:hint="eastAsia" w:hAnsi="宋体"/>
          <w:color w:val="000000"/>
          <w:sz w:val="24"/>
        </w:rPr>
        <w:t>调节功能。</w:t>
      </w:r>
    </w:p>
    <w:p>
      <w:pPr>
        <w:adjustRightInd w:val="0"/>
        <w:snapToGrid w:val="0"/>
        <w:spacing w:line="360" w:lineRule="auto"/>
        <w:ind w:firstLine="480" w:firstLineChars="200"/>
        <w:rPr>
          <w:rFonts w:hAnsi="宋体"/>
          <w:bCs/>
          <w:color w:val="000000"/>
          <w:sz w:val="24"/>
        </w:rPr>
      </w:pPr>
      <w:r>
        <w:rPr>
          <w:rFonts w:hint="eastAsia" w:hAnsi="宋体"/>
          <w:bCs/>
          <w:color w:val="000000"/>
          <w:sz w:val="24"/>
        </w:rPr>
        <w:t>加压装置达到自动开、停，压力过低，过高保护功能。</w:t>
      </w:r>
    </w:p>
    <w:p>
      <w:pPr>
        <w:adjustRightInd w:val="0"/>
        <w:snapToGrid w:val="0"/>
        <w:spacing w:line="360" w:lineRule="auto"/>
        <w:ind w:firstLine="480" w:firstLineChars="200"/>
        <w:rPr>
          <w:rFonts w:hAnsi="宋体"/>
          <w:color w:val="000000"/>
          <w:sz w:val="24"/>
        </w:rPr>
      </w:pPr>
      <w:r>
        <w:rPr>
          <w:rFonts w:hint="eastAsia" w:hAnsi="宋体"/>
          <w:color w:val="000000"/>
          <w:sz w:val="24"/>
        </w:rPr>
        <w:t>装置内部关键元件采用不锈钢304材质。</w:t>
      </w:r>
    </w:p>
    <w:p>
      <w:pPr>
        <w:adjustRightInd w:val="0"/>
        <w:snapToGrid w:val="0"/>
        <w:spacing w:line="360" w:lineRule="auto"/>
        <w:ind w:firstLine="480" w:firstLineChars="200"/>
        <w:rPr>
          <w:rFonts w:hAnsi="宋体"/>
          <w:color w:val="auto"/>
          <w:sz w:val="24"/>
        </w:rPr>
      </w:pPr>
      <w:r>
        <w:rPr>
          <w:rFonts w:hint="eastAsia" w:hAnsi="宋体"/>
          <w:color w:val="000000"/>
          <w:sz w:val="24"/>
          <w:lang w:eastAsia="zh-CN"/>
        </w:rPr>
        <w:t>机组生产厂家需具备高层水力实验塔等完善的实验，检测设施，以保证机组</w:t>
      </w:r>
      <w:r>
        <w:rPr>
          <w:rFonts w:hint="eastAsia" w:hAnsi="宋体"/>
          <w:color w:val="auto"/>
          <w:sz w:val="24"/>
          <w:lang w:eastAsia="zh-CN"/>
        </w:rPr>
        <w:t>性能。</w:t>
      </w:r>
    </w:p>
    <w:p>
      <w:pPr>
        <w:adjustRightInd w:val="0"/>
        <w:snapToGrid w:val="0"/>
        <w:spacing w:line="360" w:lineRule="auto"/>
        <w:ind w:firstLine="480" w:firstLineChars="200"/>
        <w:rPr>
          <w:rFonts w:hAnsi="宋体"/>
          <w:color w:val="auto"/>
          <w:sz w:val="24"/>
        </w:rPr>
      </w:pPr>
      <w:r>
        <w:rPr>
          <w:rFonts w:hint="eastAsia" w:hAnsi="宋体"/>
          <w:color w:val="auto"/>
          <w:sz w:val="24"/>
        </w:rPr>
        <w:t>厂家需提供的技术资料：</w:t>
      </w:r>
    </w:p>
    <w:p>
      <w:pPr>
        <w:numPr>
          <w:ilvl w:val="0"/>
          <w:numId w:val="3"/>
        </w:numPr>
        <w:adjustRightInd w:val="0"/>
        <w:snapToGrid w:val="0"/>
        <w:spacing w:line="360" w:lineRule="auto"/>
        <w:ind w:firstLine="480" w:firstLineChars="200"/>
        <w:rPr>
          <w:rFonts w:hAnsi="宋体"/>
          <w:color w:val="auto"/>
          <w:sz w:val="24"/>
        </w:rPr>
      </w:pPr>
      <w:r>
        <w:rPr>
          <w:rFonts w:hint="eastAsia" w:hAnsi="宋体"/>
          <w:color w:val="auto"/>
          <w:sz w:val="24"/>
        </w:rPr>
        <w:t>设备使用说明书；</w:t>
      </w:r>
    </w:p>
    <w:p>
      <w:pPr>
        <w:numPr>
          <w:ilvl w:val="0"/>
          <w:numId w:val="3"/>
        </w:numPr>
        <w:adjustRightInd w:val="0"/>
        <w:snapToGrid w:val="0"/>
        <w:spacing w:line="360" w:lineRule="auto"/>
        <w:ind w:firstLine="480" w:firstLineChars="200"/>
        <w:rPr>
          <w:rFonts w:hAnsi="宋体"/>
          <w:color w:val="auto"/>
          <w:sz w:val="24"/>
        </w:rPr>
      </w:pPr>
      <w:r>
        <w:rPr>
          <w:rFonts w:hint="eastAsia" w:hAnsi="宋体"/>
          <w:color w:val="auto"/>
          <w:sz w:val="24"/>
        </w:rPr>
        <w:t>设备工艺原理图、电气工作原理图。</w:t>
      </w:r>
    </w:p>
    <w:p>
      <w:pPr>
        <w:pStyle w:val="16"/>
        <w:spacing w:line="440" w:lineRule="exact"/>
        <w:ind w:firstLine="480" w:firstLineChars="200"/>
        <w:rPr>
          <w:rFonts w:hAnsi="宋体"/>
          <w:bCs/>
          <w:color w:val="auto"/>
          <w:sz w:val="24"/>
          <w:szCs w:val="24"/>
        </w:rPr>
      </w:pPr>
      <w:r>
        <w:rPr>
          <w:rFonts w:hint="eastAsia" w:hAnsi="宋体"/>
          <w:bCs/>
          <w:color w:val="auto"/>
          <w:sz w:val="24"/>
          <w:szCs w:val="24"/>
        </w:rPr>
        <w:t>第三条 配置要求</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1、总装机要求。</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机组设计布局合理，安装、检修操作方便。供方提供详细的组装图纸及配置单，并注明各元器件的规格型号及生产厂家，并列出在选用材料、制造工艺、性能考核、验收要求中所执行的标准及相关要求。</w:t>
      </w:r>
    </w:p>
    <w:p>
      <w:pPr>
        <w:pStyle w:val="16"/>
        <w:spacing w:line="440" w:lineRule="exact"/>
        <w:ind w:firstLine="482" w:firstLineChars="200"/>
        <w:rPr>
          <w:rFonts w:hAnsi="宋体"/>
          <w:b/>
          <w:color w:val="000000"/>
          <w:sz w:val="24"/>
          <w:szCs w:val="24"/>
        </w:rPr>
      </w:pP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设备表面油漆品名为蓝或黑色。</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机组入口应有过滤器。</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2、主要器件要求。</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变频控制柜：变频器ABB或同等品质进口品牌产品；柜内电器元件为</w:t>
      </w:r>
      <w:r>
        <w:rPr>
          <w:rFonts w:hint="eastAsia" w:hAnsi="宋体"/>
          <w:b w:val="0"/>
          <w:bCs/>
          <w:color w:val="auto"/>
          <w:sz w:val="24"/>
          <w:szCs w:val="24"/>
          <w:lang w:val="en-US" w:eastAsia="zh-CN"/>
        </w:rPr>
        <w:t>国产知名</w:t>
      </w:r>
      <w:r>
        <w:rPr>
          <w:rFonts w:hint="eastAsia" w:hAnsi="宋体"/>
          <w:b w:val="0"/>
          <w:bCs/>
          <w:color w:val="auto"/>
          <w:sz w:val="24"/>
          <w:szCs w:val="24"/>
        </w:rPr>
        <w:t>品牌产品，循环水泵：循环加压泵采用</w:t>
      </w:r>
      <w:r>
        <w:rPr>
          <w:rFonts w:hint="eastAsia" w:hAnsi="宋体"/>
          <w:b w:val="0"/>
          <w:bCs/>
          <w:color w:val="auto"/>
          <w:sz w:val="24"/>
          <w:szCs w:val="24"/>
          <w:lang w:eastAsia="zh-CN"/>
        </w:rPr>
        <w:t>知名</w:t>
      </w:r>
      <w:r>
        <w:rPr>
          <w:rFonts w:hint="eastAsia" w:hAnsi="宋体"/>
          <w:b w:val="0"/>
          <w:bCs/>
          <w:color w:val="auto"/>
          <w:sz w:val="24"/>
          <w:szCs w:val="24"/>
        </w:rPr>
        <w:t>品牌；</w:t>
      </w:r>
      <w:r>
        <w:rPr>
          <w:rFonts w:hint="eastAsia" w:hAnsi="宋体"/>
          <w:b w:val="0"/>
          <w:bCs/>
          <w:color w:val="auto"/>
          <w:sz w:val="24"/>
        </w:rPr>
        <w:t>水泵生产企业生产的产品满足国家标准和行业标准，并在当地有售后服务网点</w:t>
      </w:r>
      <w:r>
        <w:rPr>
          <w:rFonts w:hint="eastAsia" w:hAnsi="宋体"/>
          <w:b w:val="0"/>
          <w:bCs/>
          <w:color w:val="auto"/>
          <w:sz w:val="24"/>
          <w:szCs w:val="24"/>
        </w:rPr>
        <w:t>；减压装置必须采用：阻断器，内部关键元件（减压、驱动）等采用不锈钢；辅助设备和附件：使用的材料，制造工艺、性能均应不低于国标和有关行业标准或规定。</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仪表，压力传感器采用国产优质产品。</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接线端子采用国产优质产品。</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管材选用国标管材，</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≤DN200采用无缝钢管，20#钢；</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＞DN200采用供热用螺旋焊缝钢管，Q235B；</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管件选用国标管件，20#钢；</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lang w:eastAsia="zh-CN"/>
        </w:rPr>
        <w:t>水泵配套</w:t>
      </w:r>
      <w:r>
        <w:rPr>
          <w:rFonts w:hint="eastAsia" w:hAnsi="宋体"/>
          <w:b w:val="0"/>
          <w:bCs/>
          <w:color w:val="auto"/>
          <w:sz w:val="24"/>
          <w:szCs w:val="24"/>
        </w:rPr>
        <w:t>阀门选用蝶阀，垫片选用石墨金属缠绕垫。</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机组与供热管网供回水连接处使用球阀</w:t>
      </w:r>
    </w:p>
    <w:p>
      <w:pPr>
        <w:pStyle w:val="16"/>
        <w:spacing w:line="440" w:lineRule="exact"/>
        <w:ind w:firstLine="480" w:firstLineChars="200"/>
        <w:rPr>
          <w:rFonts w:hAnsi="宋体"/>
          <w:b w:val="0"/>
          <w:bCs/>
          <w:color w:val="auto"/>
          <w:sz w:val="24"/>
          <w:szCs w:val="24"/>
        </w:rPr>
      </w:pPr>
      <w:r>
        <w:rPr>
          <w:rFonts w:hint="eastAsia" w:hAnsi="宋体"/>
          <w:b w:val="0"/>
          <w:bCs/>
          <w:color w:val="auto"/>
          <w:sz w:val="24"/>
          <w:szCs w:val="24"/>
        </w:rPr>
        <w:t>第四条 控制要求。</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投标人应成套提供满足自动加压供热机组的启停、联锁与安全监视以及正常运行所需的安装在本体范围内的就地仪表与控制装置。控制柜包括微电脑控制器，显示器及用于机组运行的测量、控制装置，保护性能监测的其它部件及连接电缆导线</w:t>
      </w:r>
    </w:p>
    <w:p>
      <w:pPr>
        <w:adjustRightInd w:val="0"/>
        <w:snapToGrid w:val="0"/>
        <w:spacing w:line="360" w:lineRule="auto"/>
        <w:ind w:firstLine="480" w:firstLineChars="200"/>
        <w:rPr>
          <w:rFonts w:hAnsi="宋体"/>
          <w:color w:val="auto"/>
          <w:sz w:val="24"/>
        </w:rPr>
      </w:pPr>
      <w:r>
        <w:rPr>
          <w:rFonts w:hint="eastAsia" w:hAnsi="宋体"/>
          <w:color w:val="000000"/>
          <w:sz w:val="24"/>
        </w:rPr>
        <w:t>设备应具有手动/自动操作控制功能。设备</w:t>
      </w:r>
      <w:r>
        <w:rPr>
          <w:rFonts w:hint="eastAsia" w:hAnsi="宋体"/>
          <w:color w:val="auto"/>
          <w:sz w:val="24"/>
        </w:rPr>
        <w:t>启动应具备有变频和工频两种启动方式。</w:t>
      </w:r>
    </w:p>
    <w:p>
      <w:pPr>
        <w:adjustRightInd w:val="0"/>
        <w:snapToGrid w:val="0"/>
        <w:spacing w:line="360" w:lineRule="auto"/>
        <w:ind w:firstLine="480" w:firstLineChars="200"/>
        <w:rPr>
          <w:rFonts w:hAnsi="宋体"/>
          <w:color w:val="auto"/>
          <w:sz w:val="24"/>
        </w:rPr>
      </w:pPr>
      <w:r>
        <w:rPr>
          <w:rFonts w:hint="eastAsia" w:hAnsi="宋体"/>
          <w:color w:val="auto"/>
          <w:sz w:val="24"/>
        </w:rPr>
        <w:t>设备应具有过压、欠压、缺相、短路、过流等故障报警及自动保护功能，对可恢复的故障应能自动或手动消除，恢复正常运行。</w:t>
      </w:r>
    </w:p>
    <w:p>
      <w:pPr>
        <w:adjustRightInd w:val="0"/>
        <w:snapToGrid w:val="0"/>
        <w:spacing w:line="360" w:lineRule="auto"/>
        <w:ind w:firstLine="480" w:firstLineChars="200"/>
        <w:rPr>
          <w:rFonts w:hAnsi="宋体"/>
          <w:color w:val="000000"/>
          <w:sz w:val="24"/>
        </w:rPr>
      </w:pPr>
      <w:r>
        <w:rPr>
          <w:rFonts w:hint="eastAsia" w:hAnsi="宋体"/>
          <w:color w:val="000000"/>
          <w:sz w:val="24"/>
        </w:rPr>
        <w:t>应具有水泵自动切换功能：泵能够按设定时间和顺序自动或手动切换。设备的工作泵出现故障时，备用泵应能自动投入运行。故障排除后将按事先设置的时间和顺序投入运行。</w:t>
      </w:r>
    </w:p>
    <w:p>
      <w:pPr>
        <w:adjustRightInd w:val="0"/>
        <w:snapToGrid w:val="0"/>
        <w:spacing w:line="360" w:lineRule="auto"/>
        <w:ind w:firstLine="480" w:firstLineChars="200"/>
        <w:rPr>
          <w:rFonts w:hAnsi="宋体"/>
          <w:color w:val="000000"/>
          <w:sz w:val="24"/>
        </w:rPr>
      </w:pPr>
      <w:r>
        <w:rPr>
          <w:rFonts w:hint="eastAsia" w:hAnsi="宋体"/>
          <w:color w:val="000000"/>
          <w:sz w:val="24"/>
        </w:rPr>
        <w:t>设备应根据系统特点自动或远程控制，实现</w:t>
      </w:r>
      <w:r>
        <w:rPr>
          <w:rFonts w:hint="eastAsia" w:hAnsi="宋体"/>
          <w:color w:val="000000"/>
          <w:sz w:val="24"/>
          <w:lang w:eastAsia="zh-CN"/>
        </w:rPr>
        <w:t>完善</w:t>
      </w:r>
      <w:r>
        <w:rPr>
          <w:rFonts w:hint="eastAsia" w:hAnsi="宋体"/>
          <w:color w:val="000000"/>
          <w:sz w:val="24"/>
        </w:rPr>
        <w:t>控制，具有自动开启、自动关断、减压、稳压、自保护、超压报警的功能，实现无人值守功能。</w:t>
      </w:r>
    </w:p>
    <w:p>
      <w:pPr>
        <w:adjustRightInd w:val="0"/>
        <w:snapToGrid w:val="0"/>
        <w:spacing w:line="360" w:lineRule="auto"/>
        <w:ind w:firstLine="480" w:firstLineChars="200"/>
        <w:rPr>
          <w:rFonts w:hAnsi="宋体"/>
          <w:color w:val="000000"/>
          <w:sz w:val="24"/>
        </w:rPr>
      </w:pPr>
      <w:r>
        <w:rPr>
          <w:rFonts w:hint="eastAsia" w:hAnsi="宋体"/>
          <w:color w:val="000000"/>
          <w:sz w:val="24"/>
        </w:rPr>
        <w:t>变频控制柜应能精确调控加压水泵的压力，使供暖系统运行平稳、可靠且节约电能。</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所有成套提供的就地测量仪表应配供相应的安装附件。</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投标人提供的电控柜应能防尘、防水，电源线由电控柜下部引入。电控柜门应与电气设备联锁。</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投标人应提供相应的控制原理图、信号接口清单、控制装置外形图、端子排出线图、控制说明及相应逻辑图等资料。</w:t>
      </w:r>
    </w:p>
    <w:p>
      <w:pPr>
        <w:pStyle w:val="16"/>
        <w:spacing w:line="440" w:lineRule="exact"/>
        <w:ind w:firstLine="480" w:firstLineChars="200"/>
        <w:rPr>
          <w:rFonts w:hAnsi="宋体"/>
          <w:bCs/>
          <w:color w:val="auto"/>
          <w:sz w:val="24"/>
          <w:szCs w:val="24"/>
        </w:rPr>
      </w:pPr>
      <w:r>
        <w:rPr>
          <w:rFonts w:hint="eastAsia" w:hAnsi="宋体"/>
          <w:bCs/>
          <w:color w:val="auto"/>
          <w:sz w:val="24"/>
          <w:szCs w:val="24"/>
        </w:rPr>
        <w:t>预留通讯接口，通过MODBUS TCP通讯协议接入上位监控平台。</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2.性能考核</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在设备安装完成具备试车条件的情况下，将依据国家或行业的有关标准对应达到的性能进行考核，提供设备性能保证,但不限于以下保证。</w:t>
      </w:r>
    </w:p>
    <w:p>
      <w:pPr>
        <w:pStyle w:val="16"/>
        <w:spacing w:line="440" w:lineRule="exact"/>
        <w:ind w:firstLine="480" w:firstLineChars="200"/>
        <w:rPr>
          <w:rFonts w:hAnsi="宋体"/>
          <w:bCs/>
          <w:color w:val="000000"/>
          <w:sz w:val="24"/>
          <w:szCs w:val="24"/>
        </w:rPr>
      </w:pPr>
      <w:r>
        <w:rPr>
          <w:rFonts w:hint="eastAsia" w:hAnsi="宋体"/>
          <w:bCs/>
          <w:color w:val="000000"/>
          <w:sz w:val="24"/>
          <w:szCs w:val="24"/>
        </w:rPr>
        <w:t>在规定的设计参数范围内变化时，设备保证在任何工况下均能安全连续稳定运行。</w:t>
      </w:r>
    </w:p>
    <w:p>
      <w:pPr>
        <w:adjustRightInd w:val="0"/>
        <w:snapToGrid w:val="0"/>
        <w:spacing w:line="360" w:lineRule="auto"/>
        <w:ind w:firstLine="480" w:firstLineChars="200"/>
        <w:rPr>
          <w:rFonts w:hAnsi="宋体"/>
          <w:bCs/>
          <w:color w:val="000000"/>
          <w:sz w:val="24"/>
        </w:rPr>
      </w:pPr>
      <w:r>
        <w:rPr>
          <w:rFonts w:hint="eastAsia" w:hAnsi="宋体"/>
          <w:bCs/>
          <w:color w:val="000000"/>
          <w:sz w:val="24"/>
        </w:rPr>
        <w:t>设备在额定工况运行下，其噪音应符合国家标准。</w:t>
      </w:r>
    </w:p>
    <w:p>
      <w:pPr>
        <w:spacing w:line="480" w:lineRule="exact"/>
        <w:ind w:firstLine="241" w:firstLineChars="100"/>
        <w:rPr>
          <w:rFonts w:hAnsi="宋体"/>
          <w:b/>
          <w:color w:val="000000"/>
          <w:sz w:val="24"/>
        </w:rPr>
      </w:pPr>
      <w:r>
        <w:rPr>
          <w:rFonts w:hint="eastAsia" w:hAnsi="宋体"/>
          <w:b/>
          <w:color w:val="000000"/>
          <w:sz w:val="24"/>
          <w:lang w:val="en-US" w:eastAsia="zh-CN"/>
        </w:rPr>
        <w:t>四</w:t>
      </w:r>
      <w:r>
        <w:rPr>
          <w:rFonts w:hint="eastAsia" w:hAnsi="宋体"/>
          <w:b/>
          <w:color w:val="000000"/>
          <w:sz w:val="24"/>
        </w:rPr>
        <w:t>、销售服务</w:t>
      </w:r>
    </w:p>
    <w:p>
      <w:pPr>
        <w:adjustRightInd w:val="0"/>
        <w:snapToGrid w:val="0"/>
        <w:spacing w:line="360" w:lineRule="auto"/>
        <w:ind w:firstLine="480" w:firstLineChars="200"/>
        <w:rPr>
          <w:rFonts w:hAnsi="宋体"/>
          <w:color w:val="000000"/>
          <w:sz w:val="24"/>
        </w:rPr>
      </w:pPr>
      <w:r>
        <w:rPr>
          <w:rFonts w:hint="eastAsia" w:hAnsi="宋体"/>
          <w:color w:val="000000"/>
          <w:sz w:val="24"/>
        </w:rPr>
        <w:t>第一条  根据工程概况及有关参数、要求，应提供详细设计方案，设计方案应经济、安全、可靠、结构合理。</w:t>
      </w:r>
    </w:p>
    <w:p>
      <w:pPr>
        <w:adjustRightInd w:val="0"/>
        <w:snapToGrid w:val="0"/>
        <w:spacing w:line="360" w:lineRule="auto"/>
        <w:ind w:firstLine="480" w:firstLineChars="200"/>
        <w:rPr>
          <w:rFonts w:hAnsi="宋体"/>
          <w:color w:val="000000"/>
          <w:sz w:val="24"/>
        </w:rPr>
      </w:pPr>
      <w:r>
        <w:rPr>
          <w:rFonts w:hint="eastAsia" w:hAnsi="宋体"/>
          <w:color w:val="000000"/>
          <w:sz w:val="24"/>
        </w:rPr>
        <w:t>第二条  安装完毕后，应进行设备调试。调试运行应达到相关国家标准规范及本技术要求。</w:t>
      </w:r>
    </w:p>
    <w:p>
      <w:pPr>
        <w:adjustRightInd w:val="0"/>
        <w:snapToGrid w:val="0"/>
        <w:spacing w:line="360" w:lineRule="auto"/>
        <w:ind w:firstLine="480" w:firstLineChars="200"/>
        <w:rPr>
          <w:rFonts w:hAnsi="宋体"/>
          <w:color w:val="000000"/>
          <w:sz w:val="24"/>
        </w:rPr>
      </w:pPr>
      <w:r>
        <w:rPr>
          <w:rFonts w:hint="eastAsia" w:hAnsi="宋体"/>
          <w:color w:val="000000"/>
          <w:sz w:val="24"/>
        </w:rPr>
        <w:t xml:space="preserve">第三条  </w:t>
      </w:r>
      <w:r>
        <w:rPr>
          <w:rFonts w:hint="eastAsia" w:hAnsi="宋体"/>
          <w:b/>
          <w:bCs/>
          <w:color w:val="000000"/>
          <w:sz w:val="24"/>
        </w:rPr>
        <w:t>设备整机质保期</w:t>
      </w:r>
      <w:r>
        <w:rPr>
          <w:rFonts w:hint="default" w:hAnsi="宋体"/>
          <w:b/>
          <w:bCs/>
          <w:color w:val="000000"/>
          <w:sz w:val="24"/>
          <w:lang w:val="en-US"/>
        </w:rPr>
        <w:t>2</w:t>
      </w:r>
      <w:r>
        <w:rPr>
          <w:rFonts w:hint="eastAsia" w:hAnsi="宋体"/>
          <w:b/>
          <w:bCs/>
          <w:color w:val="000000"/>
          <w:sz w:val="24"/>
        </w:rPr>
        <w:t>年，在质保期内一年不低于一次现场维护、指导</w:t>
      </w:r>
      <w:r>
        <w:rPr>
          <w:rFonts w:hint="eastAsia" w:hAnsi="宋体"/>
          <w:color w:val="000000"/>
          <w:sz w:val="24"/>
        </w:rPr>
        <w:t>质量保证期满后，设备终身维修。</w:t>
      </w:r>
    </w:p>
    <w:p>
      <w:pPr>
        <w:adjustRightInd w:val="0"/>
        <w:snapToGrid w:val="0"/>
        <w:spacing w:line="360" w:lineRule="auto"/>
        <w:ind w:firstLine="480" w:firstLineChars="200"/>
        <w:rPr>
          <w:rFonts w:hAnsi="宋体"/>
          <w:color w:val="auto"/>
          <w:sz w:val="24"/>
        </w:rPr>
      </w:pPr>
      <w:r>
        <w:rPr>
          <w:rFonts w:hint="eastAsia" w:hAnsi="宋体"/>
          <w:color w:val="000000"/>
          <w:sz w:val="24"/>
        </w:rPr>
        <w:t>第四条  质保期内</w:t>
      </w:r>
      <w:r>
        <w:rPr>
          <w:rFonts w:hint="eastAsia" w:hAnsi="宋体"/>
          <w:color w:val="auto"/>
          <w:sz w:val="24"/>
        </w:rPr>
        <w:t>，凡设备不能正常运行，应在接到通知后2小时内电话响应，电话交流不能解决问题，售后服务人员应在24小时内到达现场。现场不能及时解决问题，应提供备用部件，最快时间使设备正常运行。</w:t>
      </w:r>
    </w:p>
    <w:p>
      <w:pPr>
        <w:adjustRightInd w:val="0"/>
        <w:snapToGrid w:val="0"/>
        <w:spacing w:line="360" w:lineRule="auto"/>
        <w:ind w:firstLine="480" w:firstLineChars="200"/>
        <w:rPr>
          <w:rFonts w:hAnsi="宋体"/>
          <w:color w:val="auto"/>
          <w:sz w:val="24"/>
        </w:rPr>
      </w:pPr>
      <w:r>
        <w:rPr>
          <w:rFonts w:hint="eastAsia" w:hAnsi="宋体"/>
          <w:color w:val="auto"/>
          <w:sz w:val="24"/>
        </w:rPr>
        <w:t>第五条  质保期内应对设备免费检查维护维修；质保期外，设备检查维护维修只收取必要的材料费。</w:t>
      </w:r>
    </w:p>
    <w:p>
      <w:pPr>
        <w:adjustRightInd w:val="0"/>
        <w:snapToGrid w:val="0"/>
        <w:spacing w:line="360" w:lineRule="auto"/>
        <w:ind w:firstLine="480" w:firstLineChars="200"/>
        <w:rPr>
          <w:rFonts w:hAnsi="宋体"/>
          <w:color w:val="000000"/>
          <w:sz w:val="24"/>
        </w:rPr>
      </w:pPr>
      <w:r>
        <w:rPr>
          <w:rFonts w:hint="eastAsia" w:hAnsi="宋体"/>
          <w:color w:val="auto"/>
          <w:sz w:val="24"/>
        </w:rPr>
        <w:t>第六条  免费为维修、操作人员提供现场培训，使受培训人员至</w:t>
      </w:r>
      <w:r>
        <w:rPr>
          <w:rFonts w:hint="eastAsia" w:hAnsi="宋体"/>
          <w:color w:val="000000"/>
          <w:sz w:val="24"/>
        </w:rPr>
        <w:t>少达到以下水平：掌握一般运行原理、使用方法、紧急救援及日常维护等常用技能。</w:t>
      </w:r>
    </w:p>
    <w:p>
      <w:pPr>
        <w:spacing w:line="480" w:lineRule="exact"/>
        <w:ind w:firstLine="482" w:firstLineChars="200"/>
        <w:rPr>
          <w:rFonts w:hAnsi="宋体"/>
          <w:b/>
          <w:color w:val="000000"/>
          <w:sz w:val="24"/>
        </w:rPr>
      </w:pPr>
      <w:r>
        <w:rPr>
          <w:rFonts w:hint="eastAsia" w:hAnsi="宋体"/>
          <w:b/>
          <w:color w:val="000000"/>
          <w:sz w:val="24"/>
          <w:lang w:val="en-US" w:eastAsia="zh-CN"/>
        </w:rPr>
        <w:t>五</w:t>
      </w:r>
      <w:r>
        <w:rPr>
          <w:rFonts w:hint="eastAsia" w:hAnsi="宋体"/>
          <w:b/>
          <w:color w:val="000000"/>
          <w:sz w:val="24"/>
        </w:rPr>
        <w:t>、附则</w:t>
      </w:r>
    </w:p>
    <w:p>
      <w:pPr>
        <w:adjustRightInd w:val="0"/>
        <w:snapToGrid w:val="0"/>
        <w:spacing w:line="360" w:lineRule="auto"/>
        <w:ind w:firstLine="480" w:firstLineChars="200"/>
        <w:rPr>
          <w:rFonts w:hAnsi="宋体"/>
          <w:color w:val="000000"/>
          <w:sz w:val="24"/>
        </w:rPr>
      </w:pPr>
      <w:r>
        <w:rPr>
          <w:rFonts w:hint="eastAsia" w:hAnsi="宋体"/>
          <w:color w:val="000000"/>
          <w:sz w:val="24"/>
        </w:rPr>
        <w:t>供货商和采购商应严格按上述技术要求进行，确保设备质量、技术可靠。对质量性能缩水产品，维护、运营单位将不予接收。</w:t>
      </w:r>
    </w:p>
    <w:p/>
    <w:p>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3"/>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8C86D22"/>
    <w:multiLevelType w:val="singleLevel"/>
    <w:tmpl w:val="68C86D22"/>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A56F0E"/>
    <w:rsid w:val="68B223A7"/>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6"/>
    <w:qFormat/>
    <w:uiPriority w:val="99"/>
    <w:pPr>
      <w:spacing w:after="120"/>
    </w:p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1"/>
    <w:next w:val="11"/>
    <w:qFormat/>
    <w:uiPriority w:val="0"/>
    <w:rPr>
      <w:b/>
      <w:bCs/>
    </w:rPr>
  </w:style>
  <w:style w:type="paragraph" w:styleId="28">
    <w:name w:val="Body Text First Indent"/>
    <w:basedOn w:val="13"/>
    <w:qFormat/>
    <w:uiPriority w:val="0"/>
    <w:pPr>
      <w:spacing w:line="360" w:lineRule="auto"/>
      <w:ind w:firstLine="100" w:firstLineChars="100"/>
      <w:outlineLvl w:val="0"/>
    </w:pPr>
    <w:rPr>
      <w:bCs/>
      <w:color w:val="000000"/>
      <w:kern w:val="2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3"/>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Layout w:type="fixed"/>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6"/>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7"/>
    <w:qFormat/>
    <w:uiPriority w:val="9"/>
    <w:rPr>
      <w:rFonts w:eastAsia="仿宋" w:asciiTheme="majorHAnsi" w:hAnsiTheme="majorHAnsi" w:cstheme="majorBidi"/>
      <w:bCs/>
      <w:sz w:val="24"/>
      <w:szCs w:val="28"/>
    </w:rPr>
  </w:style>
  <w:style w:type="paragraph" w:customStyle="1" w:styleId="60">
    <w:name w:val="标题4"/>
    <w:basedOn w:val="7"/>
    <w:next w:val="61"/>
    <w:qFormat/>
    <w:uiPriority w:val="0"/>
    <w:pPr>
      <w:spacing w:before="40" w:beforeLines="0" w:after="50" w:afterLines="0"/>
    </w:pPr>
    <w:rPr>
      <w:rFonts w:eastAsia="宋体"/>
      <w:sz w:val="24"/>
    </w:rPr>
  </w:style>
  <w:style w:type="paragraph" w:customStyle="1" w:styleId="61">
    <w:name w:val="样式1"/>
    <w:basedOn w:val="14"/>
    <w:next w:val="25"/>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 w:type="paragraph" w:customStyle="1" w:styleId="67">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4</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2023-08-08T06:55:00Z</cp:lastPrinted>
  <dcterms:modified xsi:type="dcterms:W3CDTF">2023-08-15T08:48:16Z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