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宋体" w:hAnsi="宋体"/>
          <w:b/>
          <w:kern w:val="0"/>
          <w:sz w:val="48"/>
          <w:szCs w:val="48"/>
          <w:shd w:val="clear" w:color="auto" w:fill="FFFFFF"/>
          <w:lang w:val="en-US" w:eastAsia="zh-CN"/>
        </w:rPr>
      </w:pPr>
      <w:r>
        <w:rPr>
          <w:rFonts w:hint="eastAsia" w:ascii="宋体" w:hAnsi="宋体" w:eastAsia="宋体" w:cs="宋体"/>
          <w:b/>
          <w:bCs/>
          <w:color w:val="auto"/>
          <w:kern w:val="2"/>
          <w:sz w:val="44"/>
          <w:szCs w:val="44"/>
          <w:lang w:val="en-US" w:eastAsia="zh-CN" w:bidi="ar-SA"/>
        </w:rPr>
        <w:t>年产22万延</w:t>
      </w:r>
      <w:r>
        <w:rPr>
          <w:rFonts w:hint="eastAsia" w:ascii="宋体" w:hAnsi="宋体"/>
          <w:b/>
          <w:kern w:val="0"/>
          <w:sz w:val="48"/>
          <w:szCs w:val="48"/>
          <w:shd w:val="clear" w:color="auto" w:fill="FFFFFF"/>
        </w:rPr>
        <w:t>米保温管生产建设项目配套设备采购</w:t>
      </w:r>
      <w:r>
        <w:rPr>
          <w:rFonts w:hint="eastAsia" w:ascii="宋体" w:hAnsi="宋体"/>
          <w:b/>
          <w:kern w:val="0"/>
          <w:sz w:val="48"/>
          <w:szCs w:val="48"/>
          <w:shd w:val="clear" w:color="auto" w:fill="FFFFFF"/>
          <w:lang w:val="en-US" w:eastAsia="zh-CN"/>
        </w:rPr>
        <w:t>项目</w:t>
      </w:r>
    </w:p>
    <w:p>
      <w:pPr>
        <w:rPr>
          <w:rFonts w:hint="eastAsia"/>
          <w:lang w:val="en-US" w:eastAsia="zh-CN"/>
        </w:rPr>
      </w:pPr>
    </w:p>
    <w:p>
      <w:pPr>
        <w:pStyle w:val="18"/>
        <w:rPr>
          <w:rFonts w:hint="eastAsia"/>
          <w:lang w:val="en-US" w:eastAsia="zh-CN"/>
        </w:rPr>
      </w:pPr>
    </w:p>
    <w:p>
      <w:pPr>
        <w:jc w:val="center"/>
        <w:rPr>
          <w:b w:val="0"/>
          <w:bCs/>
          <w:color w:val="auto"/>
          <w:sz w:val="48"/>
          <w:szCs w:val="48"/>
        </w:rPr>
      </w:pPr>
      <w:r>
        <w:rPr>
          <w:rFonts w:hint="eastAsia"/>
          <w:b w:val="0"/>
          <w:bCs/>
          <w:color w:val="auto"/>
          <w:sz w:val="48"/>
          <w:szCs w:val="48"/>
        </w:rPr>
        <w:t>电动起重机</w:t>
      </w:r>
    </w:p>
    <w:p>
      <w:pPr>
        <w:jc w:val="center"/>
        <w:rPr>
          <w:rFonts w:hint="eastAsia" w:eastAsia="宋体"/>
          <w:b/>
          <w:sz w:val="48"/>
          <w:szCs w:val="48"/>
          <w:lang w:eastAsia="zh-CN"/>
        </w:rPr>
      </w:pPr>
    </w:p>
    <w:p>
      <w:pPr>
        <w:pStyle w:val="18"/>
        <w:rPr>
          <w:rFonts w:hint="eastAsia"/>
          <w:lang w:eastAsia="zh-CN"/>
        </w:rPr>
      </w:pPr>
    </w:p>
    <w:p>
      <w:pPr>
        <w:rPr>
          <w:rFonts w:hint="eastAsia"/>
          <w:lang w:eastAsia="zh-CN"/>
        </w:rPr>
      </w:pPr>
    </w:p>
    <w:p>
      <w:pPr>
        <w:jc w:val="center"/>
        <w:rPr>
          <w:b/>
          <w:sz w:val="52"/>
          <w:szCs w:val="52"/>
        </w:rPr>
      </w:pPr>
      <w:r>
        <w:rPr>
          <w:rFonts w:hint="eastAsia"/>
          <w:b/>
          <w:sz w:val="52"/>
          <w:szCs w:val="52"/>
        </w:rPr>
        <w:t>比  选  文  件</w:t>
      </w:r>
    </w:p>
    <w:p>
      <w:pPr>
        <w:jc w:val="center"/>
        <w:rPr>
          <w:b/>
          <w:sz w:val="32"/>
          <w:szCs w:val="32"/>
        </w:rPr>
      </w:pPr>
    </w:p>
    <w:p>
      <w:pPr>
        <w:jc w:val="center"/>
        <w:rPr>
          <w:b/>
          <w:sz w:val="44"/>
          <w:szCs w:val="44"/>
        </w:rPr>
      </w:pPr>
    </w:p>
    <w:p>
      <w:pPr>
        <w:jc w:val="center"/>
        <w:rPr>
          <w:b/>
          <w:sz w:val="44"/>
          <w:szCs w:val="44"/>
        </w:rPr>
      </w:pPr>
    </w:p>
    <w:p>
      <w:pPr>
        <w:pStyle w:val="3"/>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pStyle w:val="3"/>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sz w:val="36"/>
          <w:szCs w:val="36"/>
        </w:rPr>
      </w:pPr>
      <w:r>
        <w:rPr>
          <w:rFonts w:hint="eastAsia"/>
          <w:sz w:val="36"/>
          <w:szCs w:val="36"/>
          <w:lang w:val="en-US" w:eastAsia="zh-CN"/>
        </w:rPr>
        <w:t>发 布</w:t>
      </w:r>
      <w:r>
        <w:rPr>
          <w:rFonts w:hint="eastAsia"/>
          <w:sz w:val="36"/>
          <w:szCs w:val="36"/>
        </w:rPr>
        <w:t xml:space="preserve"> 人：石家庄亿隆管业有限公司</w:t>
      </w:r>
    </w:p>
    <w:p>
      <w:pPr>
        <w:rPr>
          <w:sz w:val="36"/>
          <w:szCs w:val="36"/>
        </w:rPr>
      </w:pPr>
    </w:p>
    <w:p>
      <w:pPr>
        <w:jc w:val="center"/>
        <w:rPr>
          <w:sz w:val="36"/>
          <w:szCs w:val="36"/>
        </w:rPr>
      </w:pPr>
      <w:r>
        <w:rPr>
          <w:rFonts w:hint="eastAsia"/>
          <w:sz w:val="36"/>
          <w:szCs w:val="36"/>
        </w:rPr>
        <w:t>2023年</w:t>
      </w:r>
      <w:r>
        <w:rPr>
          <w:sz w:val="36"/>
          <w:szCs w:val="36"/>
        </w:rPr>
        <w:t>8</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9"/>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比选人</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名称：石家庄亿隆管业有限公司</w:t>
            </w:r>
          </w:p>
          <w:p>
            <w:pPr>
              <w:spacing w:line="360" w:lineRule="auto"/>
              <w:rPr>
                <w:rFonts w:ascii="宋体" w:hAnsi="宋体"/>
                <w:szCs w:val="21"/>
              </w:rPr>
            </w:pPr>
            <w:r>
              <w:rPr>
                <w:rFonts w:hint="eastAsia" w:ascii="宋体" w:hAnsi="宋体"/>
                <w:szCs w:val="21"/>
              </w:rPr>
              <w:t>地址：河北省石家庄高新区和平东路751号西配楼</w:t>
            </w:r>
          </w:p>
          <w:p>
            <w:pPr>
              <w:spacing w:line="360" w:lineRule="auto"/>
              <w:rPr>
                <w:rFonts w:ascii="宋体" w:hAnsi="宋体"/>
                <w:szCs w:val="21"/>
              </w:rPr>
            </w:pPr>
            <w:r>
              <w:rPr>
                <w:rFonts w:hint="eastAsia" w:ascii="宋体" w:hAnsi="宋体"/>
                <w:szCs w:val="21"/>
              </w:rPr>
              <w:t>联系人：刘展</w:t>
            </w:r>
          </w:p>
          <w:p>
            <w:pPr>
              <w:spacing w:line="360" w:lineRule="auto"/>
              <w:rPr>
                <w:rFonts w:ascii="宋体" w:hAnsi="宋体"/>
                <w:szCs w:val="21"/>
              </w:rPr>
            </w:pPr>
            <w:r>
              <w:rPr>
                <w:rFonts w:hint="eastAsia" w:ascii="宋体" w:hAnsi="宋体"/>
                <w:szCs w:val="21"/>
              </w:rPr>
              <w:t>联系电话：0311-80901007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2</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项目名称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szCs w:val="21"/>
                <w:lang w:val="en-US" w:eastAsia="zh-CN"/>
              </w:rPr>
            </w:pPr>
            <w:r>
              <w:rPr>
                <w:rFonts w:hint="eastAsia" w:ascii="宋体" w:hAnsi="宋体"/>
                <w:szCs w:val="21"/>
              </w:rPr>
              <w:t>石家庄亿隆管业有限公司</w:t>
            </w:r>
            <w:r>
              <w:rPr>
                <w:rFonts w:hint="eastAsia" w:ascii="宋体" w:hAnsi="宋体"/>
                <w:szCs w:val="21"/>
                <w:lang w:val="en-US" w:eastAsia="zh-CN"/>
              </w:rPr>
              <w:t xml:space="preserve"> </w:t>
            </w:r>
            <w:r>
              <w:rPr>
                <w:rFonts w:hint="eastAsia" w:ascii="宋体" w:hAnsi="宋体"/>
                <w:szCs w:val="21"/>
              </w:rPr>
              <w:t>年产22万延米保温管生产建设项目配套设备采购</w:t>
            </w:r>
            <w:r>
              <w:rPr>
                <w:rFonts w:hint="eastAsia" w:ascii="宋体" w:hAnsi="宋体"/>
                <w:szCs w:val="21"/>
                <w:lang w:val="en-US" w:eastAsia="zh-CN"/>
              </w:rPr>
              <w:t>项目（一）</w:t>
            </w:r>
            <w:r>
              <w:rPr>
                <w:rFonts w:hint="eastAsia" w:ascii="宋体" w:hAnsi="宋体"/>
                <w:szCs w:val="21"/>
              </w:rPr>
              <w:t>电动起重机</w:t>
            </w:r>
            <w:r>
              <w:rPr>
                <w:rFonts w:hint="eastAsia" w:ascii="宋体" w:hAnsi="宋体"/>
                <w:szCs w:val="21"/>
                <w:lang w:val="en-US"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3</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交货地点</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河北省石家庄市无极县北苏镇北苏村潘成产业园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4</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资金来源</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5</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资金落实情况</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已落实，1</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6</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交货期</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b/>
                <w:szCs w:val="21"/>
                <w:highlight w:val="none"/>
              </w:rPr>
            </w:pPr>
            <w:r>
              <w:rPr>
                <w:rFonts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zCs w:val="21"/>
                <w:highlight w:val="none"/>
              </w:rPr>
            </w:pPr>
            <w:r>
              <w:rPr>
                <w:rFonts w:hint="eastAsia" w:ascii="宋体" w:hAnsi="宋体"/>
                <w:szCs w:val="21"/>
                <w:highlight w:val="none"/>
              </w:rPr>
              <w:t>质量标准</w:t>
            </w:r>
          </w:p>
        </w:tc>
        <w:tc>
          <w:tcPr>
            <w:tcW w:w="55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highlight w:val="none"/>
              </w:rPr>
            </w:pPr>
            <w:r>
              <w:rPr>
                <w:rFonts w:hint="eastAsia"/>
                <w:szCs w:val="21"/>
                <w:highlight w:val="none"/>
              </w:rPr>
              <w:t>全新合格产品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8</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比选申请人资格要求</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1须具备独立法人资格，具有有效的营业执照，在国内注册的具有所投标设备所需的技术、生产或供货能力的制造商，并具有与本项目相应的供货安装能力；</w:t>
            </w:r>
          </w:p>
          <w:p>
            <w:pPr>
              <w:spacing w:line="360" w:lineRule="auto"/>
              <w:rPr>
                <w:rFonts w:ascii="宋体" w:hAnsi="宋体"/>
                <w:szCs w:val="21"/>
              </w:rPr>
            </w:pPr>
            <w:r>
              <w:rPr>
                <w:rFonts w:hint="eastAsia" w:ascii="宋体" w:hAnsi="宋体"/>
                <w:szCs w:val="21"/>
              </w:rPr>
              <w:t xml:space="preserve">2在评审工作结束前未被列入失信被执行人名单（以“信用中国”网站查询结果为准）； </w:t>
            </w:r>
          </w:p>
          <w:p>
            <w:pPr>
              <w:spacing w:line="360" w:lineRule="auto"/>
              <w:rPr>
                <w:rFonts w:ascii="宋体" w:hAnsi="宋体"/>
                <w:szCs w:val="21"/>
              </w:rPr>
            </w:pPr>
            <w:r>
              <w:rPr>
                <w:rFonts w:ascii="宋体" w:hAnsi="宋体"/>
                <w:szCs w:val="21"/>
              </w:rPr>
              <w:t>3</w:t>
            </w:r>
            <w:r>
              <w:rPr>
                <w:rFonts w:hint="eastAsia" w:ascii="宋体" w:hAnsi="宋体"/>
                <w:szCs w:val="21"/>
              </w:rPr>
              <w:t>单位负责人为同一人或者存在控股、管理关系的不同单位，不得同时参加本项目比选；</w:t>
            </w:r>
            <w:bookmarkStart w:id="15" w:name="_GoBack"/>
            <w:bookmarkEnd w:id="15"/>
          </w:p>
          <w:p>
            <w:pPr>
              <w:spacing w:line="360" w:lineRule="auto"/>
              <w:rPr>
                <w:rFonts w:ascii="宋体" w:hAnsi="宋体"/>
                <w:szCs w:val="21"/>
              </w:rPr>
            </w:pPr>
            <w:r>
              <w:rPr>
                <w:rFonts w:ascii="宋体" w:hAnsi="宋体"/>
                <w:szCs w:val="21"/>
              </w:rPr>
              <w:t>4</w:t>
            </w:r>
            <w:r>
              <w:rPr>
                <w:rFonts w:hint="eastAsia" w:ascii="宋体" w:hAnsi="宋体"/>
                <w:szCs w:val="21"/>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9</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比选申请书递交地点及截止时间</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szCs w:val="21"/>
              </w:rPr>
              <w:t>时间：</w:t>
            </w:r>
            <w:r>
              <w:rPr>
                <w:rFonts w:hint="eastAsia" w:ascii="宋体" w:hAnsi="宋体"/>
                <w:color w:val="auto"/>
                <w:szCs w:val="21"/>
              </w:rPr>
              <w:t>2023年</w:t>
            </w:r>
            <w:r>
              <w:rPr>
                <w:rFonts w:ascii="宋体" w:hAnsi="宋体"/>
                <w:color w:val="auto"/>
                <w:szCs w:val="21"/>
              </w:rPr>
              <w:t>8</w:t>
            </w:r>
            <w:r>
              <w:rPr>
                <w:rFonts w:hint="eastAsia" w:ascii="宋体" w:hAnsi="宋体"/>
                <w:color w:val="auto"/>
                <w:szCs w:val="21"/>
              </w:rPr>
              <w:t xml:space="preserve">月 </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上</w:t>
            </w:r>
            <w:r>
              <w:rPr>
                <w:rFonts w:hint="eastAsia" w:ascii="宋体" w:hAnsi="宋体"/>
                <w:color w:val="auto"/>
                <w:szCs w:val="21"/>
              </w:rPr>
              <w:t xml:space="preserve">午 </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w:t>
            </w:r>
            <w:r>
              <w:rPr>
                <w:rFonts w:hint="eastAsia" w:ascii="宋体" w:hAnsi="宋体"/>
                <w:color w:val="auto"/>
                <w:szCs w:val="21"/>
              </w:rPr>
              <w:t>0 分</w:t>
            </w:r>
          </w:p>
          <w:p>
            <w:pPr>
              <w:spacing w:line="360" w:lineRule="auto"/>
              <w:rPr>
                <w:rFonts w:ascii="宋体" w:hAnsi="宋体"/>
                <w:szCs w:val="21"/>
              </w:rPr>
            </w:pPr>
            <w:r>
              <w:rPr>
                <w:rFonts w:hint="eastAsia" w:ascii="宋体" w:hAnsi="宋体"/>
                <w:szCs w:val="21"/>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szCs w:val="21"/>
                <w:lang w:val="en-US" w:eastAsia="zh-CN"/>
              </w:rPr>
            </w:pPr>
            <w:r>
              <w:rPr>
                <w:rFonts w:hint="eastAsia" w:ascii="宋体"/>
                <w:szCs w:val="21"/>
                <w:lang w:val="en-US" w:eastAsia="zh-CN"/>
              </w:rPr>
              <w:t>10</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开启比选文件时间</w:t>
            </w:r>
          </w:p>
          <w:p>
            <w:pPr>
              <w:spacing w:line="360" w:lineRule="auto"/>
              <w:rPr>
                <w:rFonts w:ascii="宋体" w:hAnsi="宋体"/>
                <w:szCs w:val="21"/>
              </w:rPr>
            </w:pPr>
            <w:r>
              <w:rPr>
                <w:rFonts w:hint="eastAsia" w:ascii="宋体" w:hAnsi="宋体"/>
                <w:szCs w:val="21"/>
              </w:rPr>
              <w:t>和地点</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最高投标限价</w:t>
            </w:r>
          </w:p>
        </w:tc>
        <w:tc>
          <w:tcPr>
            <w:tcW w:w="5596"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sym w:font="Wingdings 2" w:char="0052"/>
            </w:r>
            <w:r>
              <w:rPr>
                <w:rFonts w:hint="eastAsia" w:ascii="宋体" w:hAnsi="宋体" w:eastAsia="宋体" w:cs="宋体"/>
                <w:b/>
                <w:bCs/>
                <w:kern w:val="2"/>
                <w:sz w:val="21"/>
                <w:szCs w:val="21"/>
                <w:lang w:val="en-US" w:eastAsia="zh-CN" w:bidi="ar-SA"/>
              </w:rPr>
              <w:t>无</w:t>
            </w:r>
          </w:p>
          <w:p>
            <w:pPr>
              <w:pStyle w:val="5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□有，最高投标限价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报价的其他要求</w:t>
            </w:r>
          </w:p>
        </w:tc>
        <w:tc>
          <w:tcPr>
            <w:tcW w:w="5596"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Times New Roman" w:hAnsi="Times New Roman" w:eastAsia="宋体" w:cs="宋体"/>
                <w:color w:val="auto"/>
                <w:kern w:val="0"/>
                <w:sz w:val="24"/>
                <w:szCs w:val="24"/>
                <w:lang w:val="en-US" w:eastAsia="zh-CN" w:bidi="ar-SA"/>
              </w:rPr>
            </w:pPr>
            <w:r>
              <w:rPr>
                <w:rFonts w:hint="eastAsia"/>
                <w:b/>
                <w:color w:val="auto"/>
                <w:sz w:val="24"/>
                <w:szCs w:val="24"/>
                <w:lang w:val="en-US" w:eastAsia="zh-CN"/>
              </w:rPr>
              <w:t>严重偏离市场价格</w:t>
            </w:r>
            <w:r>
              <w:rPr>
                <w:rFonts w:hint="eastAsia"/>
                <w:b/>
                <w:color w:val="auto"/>
                <w:sz w:val="24"/>
                <w:szCs w:val="24"/>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3</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 xml:space="preserve">评审方法及标准 </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4</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比选方法 </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综合评</w:t>
            </w:r>
            <w:r>
              <w:rPr>
                <w:rFonts w:hint="eastAsia" w:ascii="宋体" w:hAnsi="宋体"/>
                <w:szCs w:val="21"/>
                <w:lang w:val="en-US" w:eastAsia="zh-CN"/>
              </w:rPr>
              <w:t>审</w:t>
            </w:r>
            <w:r>
              <w:rPr>
                <w:rFonts w:hint="eastAsia" w:ascii="宋体" w:hAnsi="宋体"/>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比选保证金</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6</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比选申请书份数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eastAsia="宋体"/>
                <w:szCs w:val="21"/>
                <w:lang w:val="en-US" w:eastAsia="zh-CN"/>
              </w:rPr>
            </w:pPr>
            <w:r>
              <w:rPr>
                <w:rFonts w:hint="eastAsia" w:ascii="宋体"/>
                <w:szCs w:val="21"/>
              </w:rPr>
              <w:t>1份正本，</w:t>
            </w:r>
            <w:r>
              <w:rPr>
                <w:rFonts w:hint="eastAsia" w:ascii="宋体"/>
                <w:szCs w:val="21"/>
                <w:lang w:val="en-US" w:eastAsia="zh-CN"/>
              </w:rPr>
              <w:t>1</w:t>
            </w:r>
            <w:r>
              <w:rPr>
                <w:rFonts w:hint="eastAsia" w:ascii="宋体"/>
                <w:szCs w:val="21"/>
              </w:rPr>
              <w:t>份副本。电子文件：1份，（Word或PDF格式载体为u盘）。</w:t>
            </w:r>
            <w:r>
              <w:rPr>
                <w:rFonts w:hint="eastAsia" w:ascii="宋体"/>
                <w:szCs w:val="21"/>
                <w:lang w:val="en-US" w:eastAsia="zh-CN"/>
              </w:rPr>
              <w:t>另手持一份授权委托书、身份证复印件及空白价格表（加盖公章）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比选有效期</w:t>
            </w:r>
          </w:p>
        </w:tc>
        <w:tc>
          <w:tcPr>
            <w:tcW w:w="55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90日历天</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总价报价。比选报价必须包含完成本项目所需的服务、承诺、义务、保险、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3、比选申请书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3.1、比选申请书的编制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3.1.1比选申请书的格式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比选申请书应按第二章“比选申请书格式”进行编写。至少包括“比选申请书格式”的各项内容。本比选文件要求的证明文件比选申请人必须提供，本比选文件没有要求的证明文件，比选申请人认为需要提供的，也可以提供。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3.1.2比选申请书应全部用不褪色的墨水（粉）书写或打印，逐页编码，不得涂改。比选申请书副本应由正本复制而成（包括证明文件）。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3.1.3比选申请书正本一份、副本</w:t>
      </w:r>
      <w:r>
        <w:rPr>
          <w:rFonts w:hint="eastAsia" w:ascii="黑体" w:hAnsi="黑体" w:eastAsia="黑体" w:cs="黑体"/>
          <w:sz w:val="24"/>
          <w:szCs w:val="24"/>
          <w:lang w:val="en-US" w:eastAsia="zh-CN"/>
        </w:rPr>
        <w:t>一</w:t>
      </w:r>
      <w:r>
        <w:rPr>
          <w:rFonts w:hint="eastAsia" w:ascii="黑体" w:hAnsi="黑体" w:eastAsia="黑体" w:cs="黑体"/>
          <w:sz w:val="24"/>
          <w:szCs w:val="24"/>
        </w:rPr>
        <w:t>份（与前附表一致）</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另手持一份授权委托书及空白价格表</w:t>
      </w:r>
      <w:r>
        <w:rPr>
          <w:rFonts w:hint="eastAsia" w:ascii="黑体" w:hAnsi="黑体" w:eastAsia="黑体" w:cs="黑体"/>
          <w:sz w:val="24"/>
          <w:szCs w:val="24"/>
        </w:rPr>
        <w:t xml:space="preserve">。正本和副本的封面上应清楚的标记“正本”和“副本”的字样。正副本内容应完全一致，如不一致时，以正本为准。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3.1.4比选申请书的正副本应分别装订成册，并编制目录，散页无效。具体装订要求见比选申请人须知规定。</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3.2比选申请书的签署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3.2.1比选申请人应在比选申请书封面（或扉页）加盖单位公章，法定代表人应加盖印鉴，否则申请书无效。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3.2.2比选申请书的密封与标识： </w:t>
      </w:r>
    </w:p>
    <w:p>
      <w:pPr>
        <w:spacing w:line="500" w:lineRule="exact"/>
        <w:ind w:firstLine="462" w:firstLineChars="200"/>
        <w:rPr>
          <w:rFonts w:hint="default" w:eastAsia="黑体"/>
          <w:lang w:val="en-US" w:eastAsia="zh-CN"/>
        </w:rPr>
      </w:pPr>
      <w:r>
        <w:rPr>
          <w:rFonts w:hint="eastAsia" w:ascii="黑体" w:hAnsi="黑体" w:eastAsia="黑体" w:cs="黑体"/>
          <w:sz w:val="24"/>
          <w:szCs w:val="24"/>
        </w:rPr>
        <w:t>比选申请书的正本与副本应一起包装，比选申请书的外包装应保证其密封性，在密封的骑缝处加盖比选申请人单位公章。封套上应清楚地载明比选申请人的名称、地址、电话及联系人。</w:t>
      </w:r>
    </w:p>
    <w:p>
      <w:pPr>
        <w:widowControl/>
        <w:spacing w:line="500" w:lineRule="exact"/>
        <w:ind w:firstLine="462" w:firstLineChars="200"/>
        <w:rPr>
          <w:rFonts w:ascii="黑体" w:hAnsi="黑体" w:eastAsia="黑体" w:cs="黑体"/>
          <w:kern w:val="0"/>
          <w:sz w:val="24"/>
        </w:rPr>
      </w:pPr>
      <w:r>
        <w:rPr>
          <w:rFonts w:hint="eastAsia" w:ascii="黑体" w:hAnsi="黑体" w:eastAsia="黑体" w:cs="黑体"/>
          <w:kern w:val="0"/>
          <w:sz w:val="24"/>
        </w:rPr>
        <w:t>3.2.3未按以上要求密封和加写标记的比选申请书比选人将不予受理。</w:t>
      </w:r>
    </w:p>
    <w:p>
      <w:pPr>
        <w:widowControl/>
        <w:spacing w:line="500" w:lineRule="exact"/>
        <w:ind w:firstLine="462" w:firstLineChars="200"/>
      </w:pPr>
      <w:r>
        <w:rPr>
          <w:rFonts w:hint="eastAsia" w:ascii="黑体" w:hAnsi="黑体" w:eastAsia="黑体" w:cs="黑体"/>
          <w:kern w:val="0"/>
          <w:sz w:val="24"/>
        </w:rPr>
        <w:t>3.2.4</w:t>
      </w:r>
      <w:r>
        <w:rPr>
          <w:rFonts w:hint="eastAsia" w:ascii="黑体" w:hAnsi="黑体" w:eastAsia="黑体" w:cs="黑体"/>
          <w:bCs/>
          <w:kern w:val="0"/>
          <w:sz w:val="24"/>
          <w:lang w:val="zh-CN"/>
        </w:rPr>
        <w:t>法定代表人身份证明</w:t>
      </w:r>
      <w:r>
        <w:rPr>
          <w:rFonts w:hint="eastAsia" w:ascii="黑体" w:hAnsi="黑体" w:eastAsia="黑体" w:cs="黑体"/>
          <w:kern w:val="0"/>
          <w:sz w:val="24"/>
        </w:rPr>
        <w:t>内容不全、未加盖比选申请人单位公章的按无效处理（适用于法定代表人参加投标）；法定代表授权书内容不全、未加盖比选申请人单位公章、法定代表人未签字的按无效处理（适用于委托代理人参加投标）。</w:t>
      </w:r>
    </w:p>
    <w:p>
      <w:pPr>
        <w:spacing w:line="500" w:lineRule="exact"/>
        <w:ind w:firstLine="462"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3.3比选申请书的递交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比选申请书应该在比选申请人须知前附表中规定的比选申请书提交截止时间前提交。逾期送达的比选申请书比选人将不予接收。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比选申请书部分应包括：比选申请函、报价单、法定代表人授权书、资产评估机构组织结构及资格信息、企业概况、拟投入比选项目的人员、评估机构业绩、技术部分等内容。</w:t>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4</w:t>
      </w:r>
      <w:r>
        <w:rPr>
          <w:rFonts w:hint="eastAsia" w:ascii="宋体" w:hAnsi="宋体"/>
          <w:b/>
          <w:bCs/>
          <w:kern w:val="0"/>
          <w:sz w:val="28"/>
          <w:szCs w:val="28"/>
          <w:shd w:val="clear" w:color="auto" w:fill="FFFFFF"/>
        </w:rPr>
        <w:t xml:space="preserve">、中选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.1中选单位将在石家庄市供热管理集团有限公司官网公布。</w:t>
      </w:r>
    </w:p>
    <w:p>
      <w:pPr>
        <w:widowControl/>
        <w:spacing w:line="500" w:lineRule="exact"/>
        <w:ind w:firstLine="542" w:firstLineChars="200"/>
        <w:jc w:val="left"/>
        <w:rPr>
          <w:rFonts w:ascii="宋体" w:hAnsi="宋体"/>
          <w:b/>
          <w:bCs/>
          <w:kern w:val="0"/>
          <w:sz w:val="28"/>
          <w:szCs w:val="28"/>
          <w:shd w:val="clear" w:color="auto" w:fill="FFFFFF"/>
        </w:rPr>
      </w:pPr>
      <w:bookmarkStart w:id="0" w:name="_Toc15363"/>
      <w:bookmarkStart w:id="1" w:name="_Toc5218"/>
      <w:bookmarkStart w:id="2" w:name="_Toc25879"/>
      <w:bookmarkStart w:id="3" w:name="_Toc17162"/>
      <w:bookmarkStart w:id="4" w:name="_Toc9326"/>
      <w:bookmarkStart w:id="5" w:name="_Toc332902384"/>
      <w:bookmarkStart w:id="6" w:name="_Toc10509"/>
      <w:bookmarkStart w:id="7" w:name="_Toc24761"/>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、其他事项</w:t>
      </w:r>
      <w:bookmarkEnd w:id="0"/>
      <w:bookmarkEnd w:id="1"/>
      <w:bookmarkEnd w:id="2"/>
      <w:bookmarkEnd w:id="3"/>
      <w:bookmarkEnd w:id="4"/>
      <w:bookmarkEnd w:id="5"/>
      <w:bookmarkEnd w:id="6"/>
      <w:bookmarkEnd w:id="7"/>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.1中选人应及时在规定时间内与比选人订立书面合同。</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.2中选人无正当拒不签订合同、提出不合理要求或篡改评估合同的，将视为主动放弃中选。比选人可以按照评审报告推荐的中选候选人名单排序，确定下一中选候选人为中选人，也可以重新比选。</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
        <w:rPr>
          <w:sz w:val="44"/>
          <w:szCs w:val="44"/>
        </w:rPr>
      </w:pPr>
    </w:p>
    <w:p>
      <w:pPr>
        <w:pStyle w:val="3"/>
        <w:keepNext w:val="0"/>
        <w:keepLines w:val="0"/>
        <w:pageBreakBefore w:val="0"/>
        <w:widowControl w:val="0"/>
        <w:kinsoku/>
        <w:wordWrap/>
        <w:overflowPunct/>
        <w:topLinePunct w:val="0"/>
        <w:autoSpaceDE/>
        <w:autoSpaceDN/>
        <w:bidi w:val="0"/>
        <w:adjustRightInd/>
        <w:snapToGrid/>
        <w:textAlignment w:val="auto"/>
        <w:outlineLvl w:val="9"/>
      </w:pPr>
    </w:p>
    <w:p>
      <w:pPr>
        <w:pStyle w:val="2"/>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宋体" w:hAnsi="宋体"/>
          <w:b/>
          <w:kern w:val="0"/>
          <w:sz w:val="36"/>
          <w:szCs w:val="36"/>
          <w:shd w:val="clear" w:color="auto" w:fill="FFFFFF"/>
          <w:lang w:val="en-US" w:eastAsia="zh-CN"/>
        </w:rPr>
      </w:pPr>
      <w:r>
        <w:rPr>
          <w:rFonts w:hint="eastAsia" w:ascii="宋体" w:hAnsi="宋体" w:eastAsia="宋体" w:cs="宋体"/>
          <w:b/>
          <w:bCs/>
          <w:color w:val="auto"/>
          <w:kern w:val="2"/>
          <w:sz w:val="36"/>
          <w:szCs w:val="36"/>
          <w:lang w:val="en-US" w:eastAsia="zh-CN" w:bidi="ar-SA"/>
        </w:rPr>
        <w:t>年产22万延</w:t>
      </w:r>
      <w:r>
        <w:rPr>
          <w:rFonts w:hint="eastAsia" w:ascii="宋体" w:hAnsi="宋体"/>
          <w:b/>
          <w:kern w:val="0"/>
          <w:sz w:val="36"/>
          <w:szCs w:val="36"/>
          <w:shd w:val="clear" w:color="auto" w:fill="FFFFFF"/>
        </w:rPr>
        <w:t>米保温管生产建设项目配套设备采购</w:t>
      </w:r>
      <w:r>
        <w:rPr>
          <w:rFonts w:hint="eastAsia" w:ascii="宋体" w:hAnsi="宋体"/>
          <w:b/>
          <w:kern w:val="0"/>
          <w:sz w:val="36"/>
          <w:szCs w:val="36"/>
          <w:shd w:val="clear" w:color="auto" w:fill="FFFFFF"/>
          <w:lang w:val="en-US" w:eastAsia="zh-CN"/>
        </w:rPr>
        <w:t>项目</w:t>
      </w:r>
    </w:p>
    <w:p>
      <w:pPr>
        <w:widowControl/>
        <w:spacing w:line="360" w:lineRule="auto"/>
        <w:jc w:val="center"/>
        <w:rPr>
          <w:rFonts w:hint="default" w:ascii="宋体" w:hAnsi="宋体"/>
          <w:b/>
          <w:bCs/>
          <w:kern w:val="0"/>
          <w:sz w:val="36"/>
          <w:szCs w:val="36"/>
          <w:lang w:val="en-US"/>
        </w:rPr>
      </w:pPr>
      <w:r>
        <w:rPr>
          <w:rFonts w:hint="eastAsia" w:ascii="宋体" w:hAnsi="宋体"/>
          <w:b/>
          <w:bCs/>
          <w:kern w:val="0"/>
          <w:sz w:val="44"/>
          <w:szCs w:val="44"/>
          <w:u w:val="single"/>
        </w:rPr>
        <w:t>电动起重机</w:t>
      </w:r>
      <w:r>
        <w:rPr>
          <w:rFonts w:hint="eastAsia" w:ascii="宋体" w:hAnsi="宋体"/>
          <w:b/>
          <w:bCs/>
          <w:kern w:val="0"/>
          <w:sz w:val="44"/>
          <w:szCs w:val="44"/>
          <w:u w:val="single"/>
          <w:lang w:val="en-US" w:eastAsia="zh-CN"/>
        </w:rPr>
        <w:t>设备</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（比选人） </w:t>
      </w:r>
      <w:r>
        <w:rPr>
          <w:rFonts w:hint="eastAsia"/>
          <w:sz w:val="24"/>
          <w:szCs w:val="24"/>
        </w:rPr>
        <w:t>的</w:t>
      </w:r>
      <w:r>
        <w:rPr>
          <w:rFonts w:hint="eastAsia"/>
          <w:sz w:val="24"/>
          <w:szCs w:val="24"/>
          <w:u w:val="single"/>
        </w:rPr>
        <w:t xml:space="preserve">  （项目、标段名称）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1"/>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keepNext/>
        <w:keepLines/>
        <w:pageBreakBefore w:val="0"/>
        <w:widowControl w:val="0"/>
        <w:kinsoku/>
        <w:wordWrap/>
        <w:overflowPunct/>
        <w:topLinePunct w:val="0"/>
        <w:autoSpaceDE/>
        <w:autoSpaceDN/>
        <w:bidi w:val="0"/>
        <w:adjustRightInd/>
        <w:snapToGrid/>
        <w:spacing w:before="34" w:line="413" w:lineRule="auto"/>
        <w:ind w:left="0" w:right="317" w:firstLine="0"/>
        <w:jc w:val="center"/>
        <w:textAlignment w:val="auto"/>
        <w:outlineLvl w:val="9"/>
        <w:rPr>
          <w:rFonts w:hint="eastAsia"/>
          <w:color w:val="auto"/>
          <w:lang w:val="en-US" w:eastAsia="zh-CN"/>
        </w:rPr>
      </w:pPr>
    </w:p>
    <w:p>
      <w:pPr>
        <w:pStyle w:val="2"/>
        <w:jc w:val="center"/>
        <w:rPr>
          <w:rFonts w:hint="eastAsia"/>
          <w:color w:val="auto"/>
          <w:sz w:val="30"/>
          <w:szCs w:val="30"/>
        </w:rPr>
      </w:pPr>
      <w:r>
        <w:rPr>
          <w:rFonts w:hint="eastAsia"/>
          <w:color w:val="auto"/>
          <w:sz w:val="30"/>
          <w:szCs w:val="30"/>
          <w:lang w:val="en-US" w:eastAsia="zh-CN"/>
        </w:rPr>
        <w:t>分项</w:t>
      </w:r>
      <w:r>
        <w:rPr>
          <w:rFonts w:hint="eastAsia"/>
          <w:color w:val="auto"/>
          <w:sz w:val="30"/>
          <w:szCs w:val="30"/>
        </w:rPr>
        <w:t>报价表</w:t>
      </w:r>
    </w:p>
    <w:p>
      <w:pPr>
        <w:rPr>
          <w:color w:val="auto"/>
        </w:rPr>
      </w:pPr>
    </w:p>
    <w:tbl>
      <w:tblPr>
        <w:tblStyle w:val="19"/>
        <w:tblW w:w="99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2"/>
        <w:gridCol w:w="1558"/>
        <w:gridCol w:w="1809"/>
        <w:gridCol w:w="836"/>
        <w:gridCol w:w="852"/>
        <w:gridCol w:w="1913"/>
        <w:gridCol w:w="1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jc w:val="center"/>
        </w:trPr>
        <w:tc>
          <w:tcPr>
            <w:tcW w:w="982" w:type="dxa"/>
            <w:noWrap/>
            <w:vAlign w:val="center"/>
          </w:tcPr>
          <w:p>
            <w:pPr>
              <w:pStyle w:val="50"/>
              <w:jc w:val="center"/>
              <w:rPr>
                <w:b/>
                <w:color w:val="auto"/>
                <w:sz w:val="24"/>
                <w:szCs w:val="24"/>
              </w:rPr>
            </w:pPr>
            <w:r>
              <w:rPr>
                <w:rFonts w:hint="eastAsia"/>
                <w:b/>
                <w:color w:val="auto"/>
                <w:sz w:val="24"/>
                <w:szCs w:val="24"/>
              </w:rPr>
              <w:t>序号</w:t>
            </w:r>
          </w:p>
        </w:tc>
        <w:tc>
          <w:tcPr>
            <w:tcW w:w="1558" w:type="dxa"/>
            <w:tcBorders>
              <w:right w:val="single" w:color="auto" w:sz="4" w:space="0"/>
            </w:tcBorders>
            <w:noWrap/>
            <w:vAlign w:val="center"/>
          </w:tcPr>
          <w:p>
            <w:pPr>
              <w:pStyle w:val="50"/>
              <w:jc w:val="center"/>
              <w:rPr>
                <w:b/>
                <w:color w:val="auto"/>
                <w:sz w:val="24"/>
                <w:szCs w:val="24"/>
              </w:rPr>
            </w:pPr>
            <w:r>
              <w:rPr>
                <w:rFonts w:hint="eastAsia"/>
                <w:b/>
                <w:color w:val="auto"/>
                <w:sz w:val="24"/>
                <w:szCs w:val="24"/>
              </w:rPr>
              <w:t>名称</w:t>
            </w:r>
          </w:p>
        </w:tc>
        <w:tc>
          <w:tcPr>
            <w:tcW w:w="1809" w:type="dxa"/>
            <w:tcBorders>
              <w:left w:val="single" w:color="auto" w:sz="4" w:space="0"/>
            </w:tcBorders>
            <w:noWrap/>
            <w:vAlign w:val="center"/>
          </w:tcPr>
          <w:p>
            <w:pPr>
              <w:pStyle w:val="50"/>
              <w:jc w:val="center"/>
              <w:rPr>
                <w:b/>
                <w:color w:val="auto"/>
                <w:sz w:val="24"/>
                <w:szCs w:val="24"/>
              </w:rPr>
            </w:pPr>
            <w:r>
              <w:rPr>
                <w:rFonts w:hint="eastAsia"/>
                <w:b/>
                <w:color w:val="auto"/>
                <w:sz w:val="24"/>
                <w:szCs w:val="24"/>
                <w:lang w:eastAsia="zh-CN"/>
              </w:rPr>
              <w:t>品牌、</w:t>
            </w:r>
            <w:r>
              <w:rPr>
                <w:rFonts w:hint="eastAsia"/>
                <w:b/>
                <w:color w:val="auto"/>
                <w:sz w:val="24"/>
                <w:szCs w:val="24"/>
              </w:rPr>
              <w:t>型号</w:t>
            </w:r>
          </w:p>
        </w:tc>
        <w:tc>
          <w:tcPr>
            <w:tcW w:w="836" w:type="dxa"/>
            <w:noWrap/>
            <w:vAlign w:val="center"/>
          </w:tcPr>
          <w:p>
            <w:pPr>
              <w:pStyle w:val="50"/>
              <w:jc w:val="center"/>
              <w:rPr>
                <w:b/>
                <w:color w:val="auto"/>
                <w:sz w:val="24"/>
                <w:szCs w:val="24"/>
              </w:rPr>
            </w:pPr>
            <w:r>
              <w:rPr>
                <w:rFonts w:hint="eastAsia"/>
                <w:b/>
                <w:color w:val="auto"/>
                <w:sz w:val="24"/>
                <w:szCs w:val="24"/>
              </w:rPr>
              <w:t>单位</w:t>
            </w:r>
          </w:p>
        </w:tc>
        <w:tc>
          <w:tcPr>
            <w:tcW w:w="852" w:type="dxa"/>
            <w:noWrap/>
            <w:vAlign w:val="center"/>
          </w:tcPr>
          <w:p>
            <w:pPr>
              <w:pStyle w:val="50"/>
              <w:jc w:val="center"/>
              <w:rPr>
                <w:b/>
                <w:color w:val="auto"/>
                <w:sz w:val="24"/>
                <w:szCs w:val="24"/>
              </w:rPr>
            </w:pPr>
            <w:r>
              <w:rPr>
                <w:rFonts w:hint="eastAsia"/>
                <w:b/>
                <w:color w:val="auto"/>
                <w:sz w:val="24"/>
                <w:szCs w:val="24"/>
              </w:rPr>
              <w:t>数量</w:t>
            </w:r>
          </w:p>
        </w:tc>
        <w:tc>
          <w:tcPr>
            <w:tcW w:w="1913" w:type="dxa"/>
            <w:noWrap/>
            <w:vAlign w:val="center"/>
          </w:tcPr>
          <w:p>
            <w:pPr>
              <w:pStyle w:val="50"/>
              <w:jc w:val="center"/>
              <w:rPr>
                <w:b/>
                <w:color w:val="auto"/>
                <w:sz w:val="24"/>
                <w:szCs w:val="24"/>
              </w:rPr>
            </w:pPr>
            <w:r>
              <w:rPr>
                <w:rFonts w:hint="eastAsia"/>
                <w:b/>
                <w:color w:val="auto"/>
                <w:sz w:val="24"/>
                <w:szCs w:val="24"/>
              </w:rPr>
              <w:t>单价（元）</w:t>
            </w:r>
          </w:p>
        </w:tc>
        <w:tc>
          <w:tcPr>
            <w:tcW w:w="1967" w:type="dxa"/>
            <w:noWrap/>
            <w:vAlign w:val="center"/>
          </w:tcPr>
          <w:p>
            <w:pPr>
              <w:pStyle w:val="50"/>
              <w:jc w:val="center"/>
              <w:rPr>
                <w:b/>
                <w:color w:val="auto"/>
                <w:sz w:val="24"/>
                <w:szCs w:val="24"/>
              </w:rPr>
            </w:pPr>
            <w:r>
              <w:rPr>
                <w:rFonts w:hint="eastAsia"/>
                <w:b/>
                <w:color w:val="auto"/>
                <w:sz w:val="24"/>
                <w:szCs w:val="24"/>
              </w:rPr>
              <w:t>总价（元）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982" w:type="dxa"/>
            <w:noWrap/>
            <w:vAlign w:val="center"/>
          </w:tcPr>
          <w:p>
            <w:pPr>
              <w:pStyle w:val="50"/>
              <w:jc w:val="center"/>
              <w:rPr>
                <w:color w:val="auto"/>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982" w:type="dxa"/>
            <w:noWrap/>
            <w:vAlign w:val="center"/>
          </w:tcPr>
          <w:p>
            <w:pPr>
              <w:pStyle w:val="50"/>
              <w:jc w:val="center"/>
              <w:rPr>
                <w:color w:val="auto"/>
                <w:w w:val="89"/>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982" w:type="dxa"/>
            <w:noWrap/>
            <w:vAlign w:val="center"/>
          </w:tcPr>
          <w:p>
            <w:pPr>
              <w:pStyle w:val="50"/>
              <w:jc w:val="center"/>
              <w:rPr>
                <w:color w:val="auto"/>
                <w:w w:val="89"/>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jc w:val="center"/>
        </w:trPr>
        <w:tc>
          <w:tcPr>
            <w:tcW w:w="6037" w:type="dxa"/>
            <w:gridSpan w:val="5"/>
            <w:noWrap/>
            <w:vAlign w:val="center"/>
          </w:tcPr>
          <w:p>
            <w:pPr>
              <w:pStyle w:val="50"/>
              <w:jc w:val="center"/>
              <w:rPr>
                <w:color w:val="auto"/>
                <w:sz w:val="24"/>
                <w:szCs w:val="24"/>
                <w:lang w:val="en-US"/>
              </w:rPr>
            </w:pPr>
            <w:r>
              <w:rPr>
                <w:rFonts w:hint="eastAsia"/>
                <w:color w:val="auto"/>
                <w:sz w:val="24"/>
                <w:szCs w:val="24"/>
                <w:lang w:val="en-US"/>
              </w:rPr>
              <w:t>合计（大写）</w:t>
            </w:r>
          </w:p>
        </w:tc>
        <w:tc>
          <w:tcPr>
            <w:tcW w:w="3880" w:type="dxa"/>
            <w:gridSpan w:val="2"/>
            <w:noWrap/>
            <w:vAlign w:val="center"/>
          </w:tcPr>
          <w:p>
            <w:pPr>
              <w:pStyle w:val="50"/>
              <w:jc w:val="center"/>
              <w:rPr>
                <w:color w:val="auto"/>
                <w:sz w:val="24"/>
                <w:szCs w:val="24"/>
              </w:rPr>
            </w:pPr>
          </w:p>
        </w:tc>
      </w:tr>
    </w:tbl>
    <w:p>
      <w:pPr>
        <w:spacing w:line="360" w:lineRule="auto"/>
        <w:jc w:val="right"/>
        <w:rPr>
          <w:color w:val="auto"/>
        </w:rPr>
      </w:pPr>
    </w:p>
    <w:p>
      <w:pPr>
        <w:pStyle w:val="2"/>
        <w:rPr>
          <w:color w:val="auto"/>
        </w:rPr>
      </w:pPr>
    </w:p>
    <w:p>
      <w:pPr>
        <w:pStyle w:val="3"/>
        <w:keepNext w:val="0"/>
        <w:keepLines w:val="0"/>
        <w:pageBreakBefore w:val="0"/>
        <w:widowControl w:val="0"/>
        <w:kinsoku/>
        <w:wordWrap/>
        <w:overflowPunct/>
        <w:topLinePunct w:val="0"/>
        <w:autoSpaceDE/>
        <w:autoSpaceDN/>
        <w:bidi w:val="0"/>
        <w:adjustRightInd/>
        <w:snapToGrid/>
        <w:textAlignment w:val="auto"/>
        <w:outlineLvl w:val="9"/>
      </w:pPr>
    </w:p>
    <w:p>
      <w:pPr>
        <w:pStyle w:val="4"/>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6"/>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144974875"/>
      <w:bookmarkStart w:id="9" w:name="_Toc247514299"/>
      <w:bookmarkStart w:id="10" w:name="_Toc152045807"/>
      <w:bookmarkStart w:id="11" w:name="_Toc152042596"/>
      <w:bookmarkStart w:id="12" w:name="_Toc247527847"/>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9"/>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6"/>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9"/>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附合同协议书原件的复印件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6"/>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2"/>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rPr>
        <w:t>所投设备技术偏差表；</w:t>
      </w:r>
    </w:p>
    <w:tbl>
      <w:tblPr>
        <w:tblStyle w:val="1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37"/>
        <w:gridCol w:w="1587"/>
        <w:gridCol w:w="868"/>
        <w:gridCol w:w="1318"/>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64"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1637"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设备名称</w:t>
            </w:r>
          </w:p>
        </w:tc>
        <w:tc>
          <w:tcPr>
            <w:tcW w:w="1587"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型号及规格</w:t>
            </w:r>
          </w:p>
        </w:tc>
        <w:tc>
          <w:tcPr>
            <w:tcW w:w="86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数量</w:t>
            </w:r>
          </w:p>
        </w:tc>
        <w:tc>
          <w:tcPr>
            <w:tcW w:w="13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设备要求数据</w:t>
            </w:r>
          </w:p>
        </w:tc>
        <w:tc>
          <w:tcPr>
            <w:tcW w:w="1341"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所供设备实际数据</w:t>
            </w:r>
          </w:p>
        </w:tc>
        <w:tc>
          <w:tcPr>
            <w:tcW w:w="1341"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bl>
    <w:p>
      <w:pPr>
        <w:pStyle w:val="10"/>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说明：1、如投标设备的规格、技术参数与设备要求不完全一致时，请填此表。</w:t>
      </w:r>
    </w:p>
    <w:p>
      <w:pPr>
        <w:pStyle w:val="10"/>
        <w:spacing w:line="500" w:lineRule="exact"/>
        <w:ind w:left="210" w:leftChars="100" w:firstLine="782" w:firstLineChars="326"/>
        <w:rPr>
          <w:rFonts w:hAnsi="宋体"/>
          <w:kern w:val="0"/>
          <w:sz w:val="24"/>
          <w:szCs w:val="24"/>
          <w:shd w:val="clear" w:color="auto" w:fill="FFFFFF"/>
        </w:rPr>
      </w:pPr>
      <w:r>
        <w:rPr>
          <w:rFonts w:hint="eastAsia" w:hAnsi="宋体"/>
          <w:kern w:val="0"/>
          <w:sz w:val="24"/>
          <w:szCs w:val="24"/>
          <w:shd w:val="clear" w:color="auto" w:fill="FFFFFF"/>
        </w:rPr>
        <w:t>2、比选申请</w:t>
      </w:r>
      <w:r>
        <w:rPr>
          <w:rFonts w:hAnsi="宋体"/>
          <w:kern w:val="0"/>
          <w:sz w:val="24"/>
          <w:szCs w:val="24"/>
          <w:shd w:val="clear" w:color="auto" w:fill="FFFFFF"/>
        </w:rPr>
        <w:t>人保证：除技术偏差表列出的偏差外，响应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10"/>
        <w:spacing w:line="500" w:lineRule="exact"/>
        <w:ind w:left="210" w:leftChars="100" w:firstLine="782" w:firstLineChars="326"/>
        <w:rPr>
          <w:rFonts w:hAnsi="宋体"/>
          <w:b/>
          <w:kern w:val="0"/>
          <w:sz w:val="24"/>
          <w:szCs w:val="24"/>
          <w:shd w:val="clear" w:color="auto" w:fill="FFFFFF"/>
        </w:rPr>
      </w:pPr>
      <w:r>
        <w:rPr>
          <w:rFonts w:hint="eastAsia" w:hAnsi="宋体"/>
          <w:kern w:val="0"/>
          <w:sz w:val="24"/>
          <w:szCs w:val="24"/>
          <w:shd w:val="clear" w:color="auto" w:fill="FFFFFF"/>
        </w:rPr>
        <w:t>3、偏差说明填写：“正偏差、无偏差、负偏差”中的一种。</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二、企业介绍、所投设备介绍及详细参数；</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三、供货安装进度计划及保障措施；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四、设备质量保证措施；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五、售后服务承诺及运维保障体系。</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6"/>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500" w:lineRule="exact"/>
        <w:ind w:firstLine="480" w:firstLineChars="200"/>
        <w:rPr>
          <w:color w:val="auto"/>
          <w:sz w:val="24"/>
          <w:szCs w:val="24"/>
          <w:highlight w:val="none"/>
        </w:rPr>
      </w:pPr>
      <w:r>
        <w:rPr>
          <w:rFonts w:hint="eastAsia"/>
          <w:sz w:val="24"/>
          <w:szCs w:val="24"/>
        </w:rPr>
        <w:t>评审委员会对满足比选文件实质性要求的比选申请书，首先分别对比选申请人单位</w:t>
      </w:r>
      <w:r>
        <w:rPr>
          <w:rFonts w:hint="eastAsia"/>
          <w:color w:val="auto"/>
          <w:sz w:val="24"/>
          <w:szCs w:val="24"/>
          <w:highlight w:val="none"/>
        </w:rPr>
        <w:t>的技术方案进行评审打分。汇总分数后，再按照评分标准对报价进行打分</w:t>
      </w:r>
      <w:r>
        <w:rPr>
          <w:rFonts w:hint="eastAsia"/>
          <w:b/>
          <w:bCs/>
          <w:color w:val="auto"/>
          <w:sz w:val="24"/>
          <w:szCs w:val="24"/>
          <w:highlight w:val="none"/>
        </w:rPr>
        <w:t>（本项目采用2轮报价方式，取最终报价计算报价得分；各个设备厂家经与评审小组磋商后进行第2轮报价，且第二轮报价不得超过首轮报价）</w:t>
      </w:r>
      <w:r>
        <w:rPr>
          <w:rFonts w:hint="eastAsia"/>
          <w:color w:val="auto"/>
          <w:sz w:val="24"/>
          <w:szCs w:val="24"/>
          <w:highlight w:val="none"/>
        </w:rPr>
        <w:t>。按得分高低顺序进行排序，并推荐前三名为中选候选人，比选人应当确定得分排名第一的中选候选人为中选人。</w:t>
      </w:r>
    </w:p>
    <w:p>
      <w:pPr>
        <w:spacing w:line="500" w:lineRule="exact"/>
        <w:ind w:firstLine="480" w:firstLineChars="200"/>
        <w:rPr>
          <w:sz w:val="24"/>
          <w:szCs w:val="24"/>
        </w:rPr>
      </w:pPr>
      <w:r>
        <w:rPr>
          <w:rFonts w:hint="eastAsia"/>
          <w:color w:val="auto"/>
          <w:sz w:val="24"/>
          <w:szCs w:val="24"/>
          <w:highlight w:val="none"/>
        </w:rPr>
        <w:t>排名第一的中选人主动放弃中选(应提供盖章的书面声明)或因不可抗力提出不能履行合同的，比选人应按照排序依次递补中选人，也可以重新比选。如分数相同(精确到小数点后两位，第三位四舍五入)，则由评委投票决定，得票数多者中选。</w:t>
      </w:r>
      <w:r>
        <w:rPr>
          <w:rFonts w:hint="eastAsia"/>
          <w:sz w:val="24"/>
          <w:szCs w:val="24"/>
        </w:rPr>
        <w:t xml:space="preserve"> </w:t>
      </w:r>
    </w:p>
    <w:p>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详细评审评分表</w:t>
      </w:r>
    </w:p>
    <w:tbl>
      <w:tblPr>
        <w:tblStyle w:val="19"/>
        <w:tblW w:w="93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1120"/>
        <w:gridCol w:w="2480"/>
        <w:gridCol w:w="4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2040" w:type="dxa"/>
            <w:gridSpan w:val="2"/>
            <w:tcBorders>
              <w:top w:val="single" w:color="auto" w:sz="4" w:space="0"/>
              <w:left w:val="single" w:color="auto" w:sz="4" w:space="0"/>
              <w:right w:val="single" w:color="auto" w:sz="4" w:space="0"/>
            </w:tcBorders>
            <w:noWrap/>
          </w:tcPr>
          <w:p>
            <w:pPr>
              <w:pStyle w:val="50"/>
              <w:spacing w:before="132"/>
              <w:ind w:left="689" w:right="667"/>
              <w:jc w:val="center"/>
              <w:rPr>
                <w:b/>
                <w:color w:val="auto"/>
                <w:sz w:val="21"/>
                <w:szCs w:val="21"/>
              </w:rPr>
            </w:pPr>
            <w:r>
              <w:rPr>
                <w:rFonts w:hint="eastAsia"/>
                <w:b/>
                <w:color w:val="auto"/>
                <w:sz w:val="21"/>
                <w:szCs w:val="21"/>
              </w:rPr>
              <w:t>条款号</w:t>
            </w:r>
          </w:p>
        </w:tc>
        <w:tc>
          <w:tcPr>
            <w:tcW w:w="2480" w:type="dxa"/>
            <w:tcBorders>
              <w:left w:val="single" w:color="auto" w:sz="4" w:space="0"/>
            </w:tcBorders>
            <w:noWrap/>
          </w:tcPr>
          <w:p>
            <w:pPr>
              <w:pStyle w:val="50"/>
              <w:spacing w:before="132"/>
              <w:ind w:left="119" w:right="103"/>
              <w:jc w:val="center"/>
              <w:rPr>
                <w:b/>
                <w:color w:val="auto"/>
                <w:sz w:val="21"/>
                <w:szCs w:val="21"/>
              </w:rPr>
            </w:pPr>
            <w:r>
              <w:rPr>
                <w:rFonts w:hint="eastAsia"/>
                <w:b/>
                <w:color w:val="auto"/>
                <w:sz w:val="21"/>
                <w:szCs w:val="21"/>
              </w:rPr>
              <w:t>评审因素</w:t>
            </w:r>
          </w:p>
        </w:tc>
        <w:tc>
          <w:tcPr>
            <w:tcW w:w="4858" w:type="dxa"/>
            <w:noWrap/>
          </w:tcPr>
          <w:p>
            <w:pPr>
              <w:pStyle w:val="50"/>
              <w:spacing w:before="132"/>
              <w:ind w:left="1666" w:right="1666"/>
              <w:jc w:val="center"/>
              <w:rPr>
                <w:b/>
                <w:color w:val="auto"/>
                <w:sz w:val="21"/>
                <w:szCs w:val="21"/>
              </w:rPr>
            </w:pPr>
            <w:r>
              <w:rPr>
                <w:rFonts w:hint="eastAsia"/>
                <w:b/>
                <w:color w:val="auto"/>
                <w:sz w:val="21"/>
                <w:szCs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tcBorders>
              <w:left w:val="single" w:color="auto" w:sz="4" w:space="0"/>
            </w:tcBorders>
            <w:noWrap/>
            <w:vAlign w:val="center"/>
          </w:tcPr>
          <w:p>
            <w:pPr>
              <w:pStyle w:val="50"/>
              <w:spacing w:before="179"/>
              <w:jc w:val="center"/>
              <w:rPr>
                <w:rFonts w:hint="eastAsia" w:ascii="宋体" w:hAnsi="宋体" w:eastAsia="宋体" w:cs="宋体"/>
                <w:color w:val="auto"/>
                <w:sz w:val="21"/>
                <w:szCs w:val="21"/>
              </w:rPr>
            </w:pPr>
            <w:r>
              <w:rPr>
                <w:rFonts w:hint="eastAsia" w:ascii="宋体" w:hAnsi="宋体" w:eastAsia="宋体" w:cs="宋体"/>
                <w:color w:val="auto"/>
                <w:w w:val="89"/>
                <w:sz w:val="21"/>
                <w:szCs w:val="21"/>
              </w:rPr>
              <w:t>1</w:t>
            </w:r>
          </w:p>
        </w:tc>
        <w:tc>
          <w:tcPr>
            <w:tcW w:w="1120" w:type="dxa"/>
            <w:tcBorders>
              <w:righ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中标候选人排序方法</w:t>
            </w:r>
          </w:p>
        </w:tc>
        <w:tc>
          <w:tcPr>
            <w:tcW w:w="4858" w:type="dxa"/>
            <w:noWrap/>
            <w:vAlign w:val="center"/>
          </w:tcPr>
          <w:p>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按综合得分由高到低顺序推荐中标候选人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jc w:val="center"/>
        </w:trPr>
        <w:tc>
          <w:tcPr>
            <w:tcW w:w="920" w:type="dxa"/>
            <w:vMerge w:val="restart"/>
            <w:tcBorders>
              <w:left w:val="single" w:color="auto" w:sz="4" w:space="0"/>
              <w:bottom w:val="single" w:color="auto" w:sz="4" w:space="0"/>
            </w:tcBorders>
            <w:noWrap/>
          </w:tcPr>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spacing w:before="1"/>
              <w:rPr>
                <w:rFonts w:hint="eastAsia" w:ascii="宋体" w:hAnsi="宋体" w:eastAsia="宋体" w:cs="宋体"/>
                <w:b/>
                <w:color w:val="auto"/>
                <w:sz w:val="21"/>
                <w:szCs w:val="21"/>
              </w:rPr>
            </w:pPr>
          </w:p>
          <w:p>
            <w:pPr>
              <w:pStyle w:val="50"/>
              <w:ind w:left="259"/>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120" w:type="dxa"/>
            <w:vMerge w:val="restart"/>
            <w:tcBorders>
              <w:bottom w:val="single" w:color="auto" w:sz="4" w:space="0"/>
              <w:right w:val="single" w:color="auto" w:sz="4" w:space="0"/>
            </w:tcBorders>
            <w:noWrap/>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both"/>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名称</w:t>
            </w:r>
          </w:p>
        </w:tc>
        <w:tc>
          <w:tcPr>
            <w:tcW w:w="4858" w:type="dxa"/>
            <w:noWrap/>
          </w:tcPr>
          <w:p>
            <w:pPr>
              <w:pStyle w:val="50"/>
              <w:spacing w:before="114"/>
              <w:ind w:left="90"/>
              <w:rPr>
                <w:rFonts w:hint="eastAsia" w:ascii="宋体" w:hAnsi="宋体" w:eastAsia="宋体" w:cs="宋体"/>
                <w:color w:val="auto"/>
                <w:sz w:val="21"/>
                <w:szCs w:val="21"/>
              </w:rPr>
            </w:pPr>
            <w:r>
              <w:rPr>
                <w:rFonts w:hint="eastAsia" w:ascii="宋体" w:hAnsi="宋体" w:eastAsia="宋体" w:cs="宋体"/>
                <w:color w:val="auto"/>
                <w:sz w:val="21"/>
                <w:szCs w:val="21"/>
              </w:rPr>
              <w:t>与营业执照、</w:t>
            </w:r>
            <w:r>
              <w:rPr>
                <w:rFonts w:hint="eastAsia" w:ascii="宋体" w:hAnsi="宋体" w:eastAsia="宋体" w:cs="宋体"/>
                <w:color w:val="auto"/>
                <w:sz w:val="21"/>
                <w:szCs w:val="21"/>
                <w:lang w:val="en-US"/>
              </w:rPr>
              <w:t>企业公章名称</w:t>
            </w:r>
            <w:r>
              <w:rPr>
                <w:rFonts w:hint="eastAsia" w:ascii="宋体" w:hAnsi="宋体" w:eastAsia="宋体" w:cs="宋体"/>
                <w:color w:val="auto"/>
                <w:sz w:val="21"/>
                <w:szCs w:val="21"/>
              </w:rPr>
              <w:t>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4"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签字盖章</w:t>
            </w:r>
          </w:p>
        </w:tc>
        <w:tc>
          <w:tcPr>
            <w:tcW w:w="4858" w:type="dxa"/>
            <w:noWrap/>
          </w:tcPr>
          <w:p>
            <w:pPr>
              <w:pStyle w:val="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有法定代表人（单位负责人）或其委托代理人签 字或加盖单位章。由法定代表人（单位负责人） 签字的，应附法定代表人（单位负责人）身份证 明，由代理人签字的，应附授权委托书，身份证明或授权委托书</w:t>
            </w:r>
            <w:r>
              <w:rPr>
                <w:rFonts w:hint="eastAsia" w:ascii="宋体" w:hAnsi="宋体" w:eastAsia="宋体" w:cs="宋体"/>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章的规定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备选投标方案</w:t>
            </w:r>
          </w:p>
        </w:tc>
        <w:tc>
          <w:tcPr>
            <w:tcW w:w="4858" w:type="dxa"/>
            <w:noWrap/>
          </w:tcPr>
          <w:p>
            <w:pPr>
              <w:pStyle w:val="50"/>
              <w:spacing w:before="115"/>
              <w:ind w:left="90"/>
              <w:rPr>
                <w:rFonts w:hint="eastAsia" w:ascii="宋体" w:hAnsi="宋体" w:eastAsia="宋体" w:cs="宋体"/>
                <w:color w:val="auto"/>
                <w:sz w:val="21"/>
                <w:szCs w:val="21"/>
              </w:rPr>
            </w:pPr>
            <w:r>
              <w:rPr>
                <w:rFonts w:hint="eastAsia" w:ascii="宋体" w:hAnsi="宋体" w:eastAsia="宋体" w:cs="宋体"/>
                <w:color w:val="auto"/>
                <w:sz w:val="21"/>
                <w:szCs w:val="21"/>
              </w:rPr>
              <w:t>除招标文件明确允许提交备选投标方案外，</w:t>
            </w: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jc w:val="center"/>
        </w:trPr>
        <w:tc>
          <w:tcPr>
            <w:tcW w:w="920" w:type="dxa"/>
            <w:vMerge w:val="restart"/>
            <w:tcBorders>
              <w:top w:val="single" w:color="auto" w:sz="4" w:space="0"/>
            </w:tcBorders>
            <w:noWrap/>
          </w:tcPr>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ind w:left="254"/>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1120" w:type="dxa"/>
            <w:vMerge w:val="restart"/>
            <w:tcBorders>
              <w:top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4858" w:type="dxa"/>
            <w:noWrap/>
          </w:tcPr>
          <w:p>
            <w:pPr>
              <w:pStyle w:val="50"/>
              <w:spacing w:before="123"/>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设备所需的技术、生产或供货能力的制造商</w:t>
            </w:r>
            <w:r>
              <w:rPr>
                <w:rFonts w:hint="eastAsia" w:ascii="宋体" w:hAnsi="宋体" w:eastAsia="宋体" w:cs="宋体"/>
                <w:color w:val="auto"/>
                <w:sz w:val="21"/>
                <w:szCs w:val="21"/>
              </w:rPr>
              <w:t>规定，具备有效的营业执照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noWrap/>
          </w:tcPr>
          <w:p>
            <w:pPr>
              <w:rPr>
                <w:rFonts w:hint="eastAsia" w:ascii="宋体" w:hAnsi="宋体" w:eastAsia="宋体" w:cs="宋体"/>
                <w:color w:val="auto"/>
                <w:sz w:val="21"/>
                <w:szCs w:val="21"/>
              </w:rPr>
            </w:pPr>
          </w:p>
        </w:tc>
        <w:tc>
          <w:tcPr>
            <w:tcW w:w="1120" w:type="dxa"/>
            <w:vMerge w:val="continue"/>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资质、</w:t>
            </w:r>
            <w:r>
              <w:rPr>
                <w:rFonts w:hint="eastAsia" w:ascii="宋体" w:hAnsi="宋体" w:eastAsia="宋体" w:cs="宋体"/>
                <w:color w:val="auto"/>
                <w:sz w:val="21"/>
                <w:szCs w:val="21"/>
              </w:rPr>
              <w:t>信誉要求</w:t>
            </w:r>
          </w:p>
        </w:tc>
        <w:tc>
          <w:tcPr>
            <w:tcW w:w="4858" w:type="dxa"/>
            <w:noWrap/>
            <w:vAlign w:val="center"/>
          </w:tcPr>
          <w:p>
            <w:pPr>
              <w:pStyle w:val="50"/>
              <w:spacing w:line="255" w:lineRule="exact"/>
              <w:ind w:left="9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 比选人须知表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vMerge w:val="continue"/>
            <w:noWrap/>
          </w:tcPr>
          <w:p>
            <w:pPr>
              <w:rPr>
                <w:rFonts w:hint="eastAsia" w:ascii="宋体" w:hAnsi="宋体" w:eastAsia="宋体" w:cs="宋体"/>
                <w:color w:val="auto"/>
                <w:sz w:val="21"/>
                <w:szCs w:val="21"/>
              </w:rPr>
            </w:pPr>
          </w:p>
        </w:tc>
        <w:tc>
          <w:tcPr>
            <w:tcW w:w="1120" w:type="dxa"/>
            <w:vMerge w:val="continue"/>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 比选人须知表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jc w:val="center"/>
        </w:trPr>
        <w:tc>
          <w:tcPr>
            <w:tcW w:w="920" w:type="dxa"/>
            <w:vMerge w:val="restart"/>
            <w:tcBorders>
              <w:top w:val="single" w:color="auto" w:sz="4" w:space="0"/>
              <w:bottom w:val="single" w:color="auto" w:sz="4" w:space="0"/>
            </w:tcBorders>
            <w:noWrap/>
            <w:vAlign w:val="center"/>
          </w:tcPr>
          <w:p>
            <w:pPr>
              <w:pStyle w:val="50"/>
              <w:ind w:left="335"/>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20" w:type="dxa"/>
            <w:vMerge w:val="restart"/>
            <w:tcBorders>
              <w:top w:val="single" w:color="auto" w:sz="4" w:space="0"/>
              <w:bottom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480" w:type="dxa"/>
            <w:noWrap/>
          </w:tcPr>
          <w:p>
            <w:pPr>
              <w:pStyle w:val="50"/>
              <w:spacing w:before="127"/>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符合第二章“比选申请书格式”</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4858" w:type="dxa"/>
            <w:noWrap/>
          </w:tcPr>
          <w:p>
            <w:pPr>
              <w:pStyle w:val="50"/>
              <w:spacing w:before="123"/>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符合第二章“比选申请书格式”</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19" w:right="103"/>
              <w:jc w:val="center"/>
              <w:rPr>
                <w:rFonts w:hint="eastAsia" w:ascii="宋体" w:hAnsi="宋体" w:eastAsia="宋体" w:cs="宋体"/>
                <w:color w:val="auto"/>
                <w:sz w:val="21"/>
                <w:szCs w:val="21"/>
                <w:lang w:eastAsia="zh-CN"/>
              </w:rPr>
            </w:pPr>
            <w:r>
              <w:rPr>
                <w:rFonts w:hint="eastAsia" w:cs="宋体"/>
                <w:color w:val="auto"/>
                <w:sz w:val="21"/>
                <w:szCs w:val="21"/>
                <w:lang w:eastAsia="zh-CN"/>
              </w:rPr>
              <w:t>供货期</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7"/>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7"/>
              <w:ind w:left="122" w:right="101"/>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技术性能指标</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章“技术要求”</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32"/>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4858" w:type="dxa"/>
            <w:noWrap/>
            <w:vAlign w:val="center"/>
          </w:tcPr>
          <w:p>
            <w:pPr>
              <w:pStyle w:val="50"/>
              <w:spacing w:before="127"/>
              <w:ind w:left="9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cs="宋体"/>
                <w:color w:val="auto"/>
                <w:sz w:val="21"/>
                <w:szCs w:val="21"/>
                <w:lang w:val="en-US" w:eastAsia="zh-CN"/>
              </w:rPr>
              <w:t>产品</w:t>
            </w:r>
            <w:r>
              <w:rPr>
                <w:rFonts w:hint="eastAsia" w:ascii="宋体" w:hAnsi="宋体" w:eastAsia="宋体" w:cs="宋体"/>
                <w:color w:val="auto"/>
                <w:sz w:val="21"/>
                <w:szCs w:val="21"/>
              </w:rPr>
              <w:t>及技术服务和</w:t>
            </w:r>
            <w:r>
              <w:rPr>
                <w:rFonts w:hint="eastAsia" w:cs="宋体"/>
                <w:color w:val="auto"/>
                <w:sz w:val="21"/>
                <w:szCs w:val="21"/>
                <w:lang w:eastAsia="zh-CN"/>
              </w:rPr>
              <w:t>保质期</w:t>
            </w:r>
            <w:r>
              <w:rPr>
                <w:rFonts w:hint="eastAsia" w:ascii="宋体" w:hAnsi="宋体" w:eastAsia="宋体" w:cs="宋体"/>
                <w:color w:val="auto"/>
                <w:sz w:val="21"/>
                <w:szCs w:val="21"/>
              </w:rPr>
              <w:t>服务</w:t>
            </w:r>
          </w:p>
        </w:tc>
        <w:tc>
          <w:tcPr>
            <w:tcW w:w="4858" w:type="dxa"/>
            <w:noWrap/>
            <w:vAlign w:val="top"/>
          </w:tcPr>
          <w:p>
            <w:pPr>
              <w:pStyle w:val="50"/>
              <w:spacing w:before="125"/>
              <w:ind w:left="90" w:leftChars="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章“技术要求”</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jc w:val="center"/>
        </w:trPr>
        <w:tc>
          <w:tcPr>
            <w:tcW w:w="2040" w:type="dxa"/>
            <w:gridSpan w:val="2"/>
            <w:noWrap/>
            <w:vAlign w:val="center"/>
          </w:tcPr>
          <w:p>
            <w:pPr>
              <w:pStyle w:val="50"/>
              <w:ind w:left="679" w:right="663"/>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480" w:type="dxa"/>
            <w:noWrap/>
            <w:vAlign w:val="center"/>
          </w:tcPr>
          <w:p>
            <w:pPr>
              <w:pStyle w:val="50"/>
              <w:ind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pStyle w:val="50"/>
              <w:spacing w:before="173"/>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 100 分)</w:t>
            </w:r>
          </w:p>
        </w:tc>
        <w:tc>
          <w:tcPr>
            <w:tcW w:w="4858" w:type="dxa"/>
            <w:noWrap/>
          </w:tcPr>
          <w:p>
            <w:pPr>
              <w:pStyle w:val="50"/>
              <w:spacing w:before="167" w:line="241" w:lineRule="exact"/>
              <w:ind w:left="90"/>
              <w:rPr>
                <w:rFonts w:hint="eastAsia" w:ascii="宋体" w:hAnsi="宋体" w:eastAsia="宋体" w:cs="宋体"/>
                <w:color w:val="auto"/>
                <w:sz w:val="21"/>
                <w:szCs w:val="21"/>
                <w:lang w:val="en-US"/>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rPr>
              <w:t>70</w:t>
            </w:r>
            <w:r>
              <w:rPr>
                <w:rFonts w:hint="eastAsia" w:ascii="宋体" w:hAnsi="宋体" w:eastAsia="宋体" w:cs="宋体"/>
                <w:color w:val="auto"/>
                <w:sz w:val="21"/>
                <w:szCs w:val="21"/>
              </w:rPr>
              <w:t>分</w:t>
            </w:r>
          </w:p>
          <w:p>
            <w:pPr>
              <w:pStyle w:val="50"/>
              <w:spacing w:before="167" w:line="241" w:lineRule="exact"/>
              <w:ind w:left="9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rPr>
              <w:t>30</w:t>
            </w:r>
            <w:r>
              <w:rPr>
                <w:rFonts w:hint="eastAsia" w:ascii="宋体" w:hAnsi="宋体" w:eastAsia="宋体" w:cs="宋体"/>
                <w:color w:val="auto"/>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2040" w:type="dxa"/>
            <w:gridSpan w:val="2"/>
            <w:noWrap/>
            <w:vAlign w:val="center"/>
          </w:tcPr>
          <w:p>
            <w:pPr>
              <w:pStyle w:val="50"/>
              <w:spacing w:before="143"/>
              <w:ind w:left="679" w:right="663"/>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480" w:type="dxa"/>
            <w:noWrap/>
            <w:vAlign w:val="center"/>
          </w:tcPr>
          <w:p>
            <w:pPr>
              <w:pStyle w:val="50"/>
              <w:spacing w:before="127"/>
              <w:ind w:left="121" w:right="103"/>
              <w:jc w:val="center"/>
              <w:rPr>
                <w:color w:val="auto"/>
                <w:sz w:val="21"/>
                <w:szCs w:val="21"/>
              </w:rPr>
            </w:pPr>
            <w:r>
              <w:rPr>
                <w:rFonts w:hint="eastAsia"/>
                <w:color w:val="auto"/>
                <w:sz w:val="21"/>
                <w:szCs w:val="21"/>
              </w:rPr>
              <w:t>评标基准价计算方法</w:t>
            </w:r>
          </w:p>
        </w:tc>
        <w:tc>
          <w:tcPr>
            <w:tcW w:w="4858" w:type="dxa"/>
            <w:noWrap/>
          </w:tcPr>
          <w:p>
            <w:pPr>
              <w:spacing w:before="22"/>
              <w:rPr>
                <w:color w:val="auto"/>
                <w:sz w:val="21"/>
                <w:szCs w:val="21"/>
              </w:rPr>
            </w:pPr>
            <w:r>
              <w:rPr>
                <w:rFonts w:hint="eastAsia"/>
                <w:color w:val="auto"/>
                <w:sz w:val="21"/>
                <w:szCs w:val="21"/>
              </w:rPr>
              <w:t>有效投标报价指通过资格、形式及响应性评审且不高于最高限价的投标报价；</w:t>
            </w:r>
          </w:p>
          <w:p>
            <w:pPr>
              <w:spacing w:before="22"/>
              <w:rPr>
                <w:color w:val="auto"/>
                <w:sz w:val="21"/>
                <w:szCs w:val="21"/>
              </w:rPr>
            </w:pPr>
            <w:r>
              <w:rPr>
                <w:rFonts w:hint="eastAsia"/>
                <w:color w:val="auto"/>
                <w:sz w:val="21"/>
                <w:szCs w:val="21"/>
              </w:rPr>
              <w:t>评标基准价：如有效</w:t>
            </w:r>
            <w:r>
              <w:rPr>
                <w:rFonts w:hint="eastAsia"/>
                <w:color w:val="auto"/>
                <w:sz w:val="21"/>
                <w:szCs w:val="21"/>
                <w:lang w:eastAsia="zh-CN"/>
              </w:rPr>
              <w:t>比选申请人</w:t>
            </w:r>
            <w:r>
              <w:rPr>
                <w:rFonts w:hint="eastAsia"/>
                <w:color w:val="auto"/>
                <w:sz w:val="21"/>
                <w:szCs w:val="21"/>
              </w:rPr>
              <w:t>少于</w:t>
            </w:r>
            <w:r>
              <w:rPr>
                <w:color w:val="auto"/>
                <w:sz w:val="21"/>
                <w:szCs w:val="21"/>
              </w:rPr>
              <w:t>5</w:t>
            </w:r>
            <w:r>
              <w:rPr>
                <w:rFonts w:hint="eastAsia"/>
                <w:color w:val="auto"/>
                <w:sz w:val="21"/>
                <w:szCs w:val="21"/>
              </w:rPr>
              <w:t>家</w:t>
            </w:r>
            <w:r>
              <w:rPr>
                <w:color w:val="auto"/>
                <w:sz w:val="21"/>
                <w:szCs w:val="21"/>
              </w:rPr>
              <w:t>(</w:t>
            </w:r>
            <w:r>
              <w:rPr>
                <w:rFonts w:hint="eastAsia"/>
                <w:color w:val="auto"/>
                <w:sz w:val="21"/>
                <w:szCs w:val="21"/>
              </w:rPr>
              <w:t>含</w:t>
            </w:r>
            <w:r>
              <w:rPr>
                <w:color w:val="auto"/>
                <w:sz w:val="21"/>
                <w:szCs w:val="21"/>
              </w:rPr>
              <w:t>5</w:t>
            </w:r>
            <w:r>
              <w:rPr>
                <w:rFonts w:hint="eastAsia"/>
                <w:color w:val="auto"/>
                <w:sz w:val="21"/>
                <w:szCs w:val="21"/>
              </w:rPr>
              <w:t>家</w:t>
            </w:r>
            <w:r>
              <w:rPr>
                <w:color w:val="auto"/>
                <w:sz w:val="21"/>
                <w:szCs w:val="21"/>
              </w:rPr>
              <w:t>)</w:t>
            </w:r>
            <w:r>
              <w:rPr>
                <w:rFonts w:hint="eastAsia"/>
                <w:color w:val="auto"/>
                <w:sz w:val="21"/>
                <w:szCs w:val="21"/>
              </w:rPr>
              <w:t>时，以全部有效报价的算术平均值为评标基准价；如有效</w:t>
            </w:r>
            <w:r>
              <w:rPr>
                <w:rFonts w:hint="eastAsia"/>
                <w:color w:val="auto"/>
                <w:sz w:val="21"/>
                <w:szCs w:val="21"/>
                <w:lang w:eastAsia="zh-CN"/>
              </w:rPr>
              <w:t>比选申请人</w:t>
            </w:r>
            <w:r>
              <w:rPr>
                <w:rFonts w:hint="eastAsia"/>
                <w:color w:val="auto"/>
                <w:sz w:val="21"/>
                <w:szCs w:val="21"/>
              </w:rPr>
              <w:t>大于</w:t>
            </w:r>
            <w:r>
              <w:rPr>
                <w:color w:val="auto"/>
                <w:sz w:val="21"/>
                <w:szCs w:val="21"/>
              </w:rPr>
              <w:t>5</w:t>
            </w:r>
            <w:r>
              <w:rPr>
                <w:rFonts w:hint="eastAsia"/>
                <w:color w:val="auto"/>
                <w:sz w:val="21"/>
                <w:szCs w:val="21"/>
              </w:rPr>
              <w:t>家时，去掉一个最低报价和一个最高报价，取其余报价的算术平均值为评标基准价；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jc w:val="center"/>
        </w:trPr>
        <w:tc>
          <w:tcPr>
            <w:tcW w:w="2040" w:type="dxa"/>
            <w:gridSpan w:val="2"/>
            <w:noWrap/>
          </w:tcPr>
          <w:p>
            <w:pPr>
              <w:pStyle w:val="50"/>
              <w:spacing w:before="8"/>
              <w:rPr>
                <w:rFonts w:hint="eastAsia" w:ascii="宋体" w:hAnsi="宋体" w:eastAsia="宋体" w:cs="宋体"/>
                <w:b/>
                <w:color w:val="auto"/>
                <w:sz w:val="21"/>
                <w:szCs w:val="21"/>
              </w:rPr>
            </w:pPr>
          </w:p>
          <w:p>
            <w:pPr>
              <w:pStyle w:val="50"/>
              <w:spacing w:before="1"/>
              <w:ind w:left="679" w:right="486"/>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color w:val="auto"/>
                <w:sz w:val="21"/>
                <w:szCs w:val="21"/>
              </w:rPr>
            </w:pPr>
            <w:r>
              <w:rPr>
                <w:rFonts w:hint="eastAsia"/>
                <w:color w:val="auto"/>
                <w:sz w:val="21"/>
                <w:szCs w:val="21"/>
              </w:rPr>
              <w:t>投标报价的偏差率计算公式</w:t>
            </w:r>
          </w:p>
        </w:tc>
        <w:tc>
          <w:tcPr>
            <w:tcW w:w="4858" w:type="dxa"/>
            <w:noWrap/>
            <w:vAlign w:val="center"/>
          </w:tcPr>
          <w:p>
            <w:pPr>
              <w:pStyle w:val="50"/>
              <w:jc w:val="both"/>
              <w:rPr>
                <w:color w:val="auto"/>
                <w:sz w:val="21"/>
                <w:szCs w:val="21"/>
              </w:rPr>
            </w:pPr>
            <w:r>
              <w:rPr>
                <w:rFonts w:hint="eastAsia"/>
                <w:color w:val="auto"/>
                <w:sz w:val="21"/>
                <w:szCs w:val="21"/>
              </w:rPr>
              <w:t>偏差率</w:t>
            </w:r>
            <w:r>
              <w:rPr>
                <w:color w:val="auto"/>
                <w:sz w:val="21"/>
                <w:szCs w:val="21"/>
              </w:rPr>
              <w:t xml:space="preserve">=100% </w:t>
            </w:r>
            <w:r>
              <w:rPr>
                <w:rFonts w:hint="eastAsia"/>
                <w:color w:val="auto"/>
                <w:sz w:val="21"/>
                <w:szCs w:val="21"/>
              </w:rPr>
              <w:t>×（</w:t>
            </w:r>
            <w:r>
              <w:rPr>
                <w:rFonts w:hint="eastAsia"/>
                <w:color w:val="auto"/>
                <w:sz w:val="21"/>
                <w:szCs w:val="21"/>
                <w:lang w:eastAsia="zh-CN"/>
              </w:rPr>
              <w:t>比选申请人</w:t>
            </w:r>
            <w:r>
              <w:rPr>
                <w:rFonts w:hint="eastAsia"/>
                <w:color w:val="auto"/>
                <w:sz w:val="21"/>
                <w:szCs w:val="21"/>
              </w:rPr>
              <w:t>报价</w:t>
            </w:r>
            <w:r>
              <w:rPr>
                <w:rFonts w:ascii="Times New Roman" w:hAnsi="Times New Roman" w:cs="Times New Roman"/>
                <w:color w:val="auto"/>
                <w:sz w:val="21"/>
                <w:szCs w:val="21"/>
              </w:rPr>
              <w:t>−</w:t>
            </w:r>
            <w:r>
              <w:rPr>
                <w:rFonts w:hint="eastAsia"/>
                <w:color w:val="auto"/>
                <w:sz w:val="21"/>
                <w:szCs w:val="21"/>
              </w:rPr>
              <w:t>评标基准价）</w:t>
            </w:r>
            <w:r>
              <w:rPr>
                <w:color w:val="auto"/>
                <w:sz w:val="21"/>
                <w:szCs w:val="21"/>
              </w:rPr>
              <w:t>/</w:t>
            </w:r>
            <w:r>
              <w:rPr>
                <w:rFonts w:hint="eastAsia"/>
                <w:color w:val="auto"/>
                <w:sz w:val="21"/>
                <w:szCs w:val="21"/>
              </w:rPr>
              <w:t>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9" w:hRule="atLeast"/>
          <w:jc w:val="center"/>
        </w:trPr>
        <w:tc>
          <w:tcPr>
            <w:tcW w:w="920" w:type="dxa"/>
            <w:vMerge w:val="restart"/>
            <w:noWrap/>
            <w:vAlign w:val="center"/>
          </w:tcPr>
          <w:p>
            <w:pPr>
              <w:pStyle w:val="50"/>
              <w:jc w:val="both"/>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w:t>
            </w:r>
          </w:p>
        </w:tc>
        <w:tc>
          <w:tcPr>
            <w:tcW w:w="1120" w:type="dxa"/>
            <w:vMerge w:val="restart"/>
            <w:noWrap/>
            <w:vAlign w:val="center"/>
          </w:tcPr>
          <w:p>
            <w:pPr>
              <w:pStyle w:val="5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技术评分标准（</w:t>
            </w:r>
            <w:r>
              <w:rPr>
                <w:rFonts w:hint="eastAsia" w:ascii="宋体" w:hAnsi="宋体" w:eastAsia="宋体" w:cs="宋体"/>
                <w:color w:val="auto"/>
                <w:sz w:val="21"/>
                <w:szCs w:val="21"/>
                <w:lang w:val="en-US"/>
              </w:rPr>
              <w:t>70分</w:t>
            </w:r>
            <w:r>
              <w:rPr>
                <w:rFonts w:hint="eastAsia" w:ascii="宋体" w:hAnsi="宋体" w:eastAsia="宋体" w:cs="宋体"/>
                <w:color w:val="auto"/>
                <w:sz w:val="21"/>
                <w:szCs w:val="21"/>
              </w:rPr>
              <w:t>）</w:t>
            </w:r>
          </w:p>
        </w:tc>
        <w:tc>
          <w:tcPr>
            <w:tcW w:w="2480" w:type="dxa"/>
            <w:noWrap/>
            <w:vAlign w:val="center"/>
          </w:tcPr>
          <w:p>
            <w:pPr>
              <w:widowControl/>
              <w:spacing w:line="400" w:lineRule="exact"/>
              <w:jc w:val="center"/>
              <w:rPr>
                <w:rFonts w:hint="eastAsia" w:ascii="宋体" w:hAnsi="宋体" w:eastAsia="宋体" w:cs="宋体"/>
                <w:color w:val="auto"/>
                <w:sz w:val="21"/>
                <w:szCs w:val="21"/>
                <w:lang w:val="en-US"/>
              </w:rPr>
            </w:pPr>
            <w:r>
              <w:rPr>
                <w:rFonts w:hint="eastAsia"/>
                <w:color w:val="auto"/>
                <w:sz w:val="21"/>
                <w:szCs w:val="21"/>
              </w:rPr>
              <w:t>产品性能</w:t>
            </w:r>
            <w:r>
              <w:rPr>
                <w:rFonts w:hint="eastAsia"/>
                <w:color w:val="auto"/>
                <w:sz w:val="21"/>
                <w:szCs w:val="21"/>
                <w:lang w:val="en-US" w:eastAsia="zh-CN"/>
              </w:rPr>
              <w:t>3</w:t>
            </w:r>
            <w:r>
              <w:rPr>
                <w:rFonts w:hint="eastAsia"/>
                <w:color w:val="auto"/>
                <w:sz w:val="21"/>
                <w:szCs w:val="21"/>
                <w:lang w:val="en-US"/>
              </w:rPr>
              <w:t>0分</w:t>
            </w:r>
          </w:p>
        </w:tc>
        <w:tc>
          <w:tcPr>
            <w:tcW w:w="4858" w:type="dxa"/>
            <w:noWrap/>
            <w:vAlign w:val="center"/>
          </w:tcPr>
          <w:p>
            <w:pPr>
              <w:numPr>
                <w:ilvl w:val="0"/>
                <w:numId w:val="0"/>
              </w:numPr>
              <w:spacing w:before="22"/>
              <w:rPr>
                <w:rFonts w:hint="eastAsia"/>
                <w:color w:val="auto"/>
                <w:sz w:val="21"/>
                <w:szCs w:val="21"/>
              </w:rPr>
            </w:pPr>
            <w:r>
              <w:rPr>
                <w:rFonts w:hint="eastAsia"/>
                <w:color w:val="auto"/>
                <w:sz w:val="21"/>
                <w:szCs w:val="21"/>
                <w:lang w:val="en-US" w:eastAsia="zh-CN"/>
              </w:rPr>
              <w:t>1、</w:t>
            </w:r>
            <w:r>
              <w:rPr>
                <w:rFonts w:hint="eastAsia"/>
                <w:color w:val="auto"/>
                <w:sz w:val="21"/>
                <w:szCs w:val="21"/>
              </w:rPr>
              <w:t>根据产品性能、品质描述进行横向比对，</w:t>
            </w:r>
          </w:p>
          <w:p>
            <w:pPr>
              <w:numPr>
                <w:ilvl w:val="0"/>
                <w:numId w:val="0"/>
              </w:numPr>
              <w:spacing w:before="22"/>
              <w:rPr>
                <w:rFonts w:hint="eastAsia"/>
                <w:color w:val="auto"/>
                <w:sz w:val="21"/>
                <w:szCs w:val="21"/>
              </w:rPr>
            </w:pPr>
            <w:r>
              <w:rPr>
                <w:rFonts w:hint="eastAsia"/>
                <w:color w:val="auto"/>
                <w:sz w:val="21"/>
                <w:szCs w:val="21"/>
              </w:rPr>
              <w:t>好</w:t>
            </w:r>
            <w:r>
              <w:rPr>
                <w:rFonts w:hint="eastAsia"/>
                <w:color w:val="auto"/>
                <w:sz w:val="21"/>
                <w:szCs w:val="21"/>
                <w:lang w:val="en-US" w:eastAsia="zh-CN"/>
              </w:rPr>
              <w:t>20</w:t>
            </w:r>
            <w:r>
              <w:rPr>
                <w:rFonts w:hint="eastAsia"/>
                <w:color w:val="auto"/>
                <w:sz w:val="21"/>
                <w:szCs w:val="21"/>
              </w:rPr>
              <w:t>.01-</w:t>
            </w:r>
            <w:r>
              <w:rPr>
                <w:rFonts w:hint="eastAsia"/>
                <w:color w:val="auto"/>
                <w:sz w:val="21"/>
                <w:szCs w:val="21"/>
                <w:lang w:val="en-US" w:eastAsia="zh-CN"/>
              </w:rPr>
              <w:t>30</w:t>
            </w:r>
            <w:r>
              <w:rPr>
                <w:rFonts w:hint="eastAsia"/>
                <w:color w:val="auto"/>
                <w:sz w:val="21"/>
                <w:szCs w:val="21"/>
              </w:rPr>
              <w:t>.00分，</w:t>
            </w:r>
          </w:p>
          <w:p>
            <w:pPr>
              <w:numPr>
                <w:ilvl w:val="0"/>
                <w:numId w:val="0"/>
              </w:numPr>
              <w:spacing w:before="22"/>
              <w:rPr>
                <w:rFonts w:hint="eastAsia"/>
                <w:color w:val="auto"/>
                <w:sz w:val="21"/>
                <w:szCs w:val="21"/>
              </w:rPr>
            </w:pPr>
            <w:r>
              <w:rPr>
                <w:rFonts w:hint="eastAsia"/>
                <w:color w:val="auto"/>
                <w:sz w:val="21"/>
                <w:szCs w:val="21"/>
              </w:rPr>
              <w:t>较好</w:t>
            </w:r>
            <w:r>
              <w:rPr>
                <w:rFonts w:hint="eastAsia"/>
                <w:color w:val="auto"/>
                <w:sz w:val="21"/>
                <w:szCs w:val="21"/>
                <w:lang w:val="en-US" w:eastAsia="zh-CN"/>
              </w:rPr>
              <w:t>10</w:t>
            </w:r>
            <w:r>
              <w:rPr>
                <w:rFonts w:hint="eastAsia"/>
                <w:color w:val="auto"/>
                <w:sz w:val="21"/>
                <w:szCs w:val="21"/>
              </w:rPr>
              <w:t>.01-</w:t>
            </w:r>
            <w:r>
              <w:rPr>
                <w:rFonts w:hint="eastAsia"/>
                <w:color w:val="auto"/>
                <w:sz w:val="21"/>
                <w:szCs w:val="21"/>
                <w:lang w:val="en-US" w:eastAsia="zh-CN"/>
              </w:rPr>
              <w:t>20</w:t>
            </w:r>
            <w:r>
              <w:rPr>
                <w:rFonts w:hint="eastAsia"/>
                <w:color w:val="auto"/>
                <w:sz w:val="21"/>
                <w:szCs w:val="21"/>
              </w:rPr>
              <w:t>.00分，</w:t>
            </w:r>
          </w:p>
          <w:p>
            <w:pPr>
              <w:numPr>
                <w:ilvl w:val="0"/>
                <w:numId w:val="0"/>
              </w:numPr>
              <w:spacing w:before="22"/>
              <w:rPr>
                <w:rFonts w:hint="eastAsia"/>
                <w:color w:val="auto"/>
                <w:sz w:val="21"/>
                <w:szCs w:val="21"/>
              </w:rPr>
            </w:pPr>
            <w:r>
              <w:rPr>
                <w:rFonts w:hint="eastAsia"/>
                <w:color w:val="auto"/>
                <w:sz w:val="21"/>
                <w:szCs w:val="21"/>
              </w:rPr>
              <w:t>一般</w:t>
            </w:r>
            <w:r>
              <w:rPr>
                <w:rFonts w:hint="eastAsia"/>
                <w:color w:val="auto"/>
                <w:sz w:val="21"/>
                <w:szCs w:val="21"/>
                <w:lang w:val="en-US" w:eastAsia="zh-CN"/>
              </w:rPr>
              <w:t>0</w:t>
            </w:r>
            <w:r>
              <w:rPr>
                <w:rFonts w:hint="eastAsia"/>
                <w:color w:val="auto"/>
                <w:sz w:val="21"/>
                <w:szCs w:val="21"/>
              </w:rPr>
              <w:t>.00-</w:t>
            </w:r>
            <w:r>
              <w:rPr>
                <w:rFonts w:hint="eastAsia"/>
                <w:color w:val="auto"/>
                <w:sz w:val="21"/>
                <w:szCs w:val="21"/>
                <w:lang w:val="en-US" w:eastAsia="zh-CN"/>
              </w:rPr>
              <w:t>10</w:t>
            </w:r>
            <w:r>
              <w:rPr>
                <w:rFonts w:hint="eastAsia"/>
                <w:color w:val="auto"/>
                <w:sz w:val="21"/>
                <w:szCs w:val="21"/>
              </w:rPr>
              <w:t>.00分。</w:t>
            </w:r>
          </w:p>
          <w:p>
            <w:pPr>
              <w:numPr>
                <w:ilvl w:val="0"/>
                <w:numId w:val="0"/>
              </w:numPr>
              <w:spacing w:before="22"/>
              <w:rPr>
                <w:rFonts w:hint="default" w:eastAsia="宋体"/>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vAlign w:val="center"/>
          </w:tcPr>
          <w:p>
            <w:pPr>
              <w:pStyle w:val="50"/>
              <w:jc w:val="both"/>
              <w:rPr>
                <w:rFonts w:hint="eastAsia" w:ascii="宋体" w:hAnsi="宋体" w:eastAsia="宋体" w:cs="宋体"/>
                <w:color w:val="auto"/>
                <w:sz w:val="21"/>
                <w:szCs w:val="21"/>
              </w:rPr>
            </w:pPr>
          </w:p>
        </w:tc>
        <w:tc>
          <w:tcPr>
            <w:tcW w:w="1120" w:type="dxa"/>
            <w:vMerge w:val="continue"/>
            <w:noWrap/>
            <w:vAlign w:val="center"/>
          </w:tcPr>
          <w:p>
            <w:pPr>
              <w:pStyle w:val="50"/>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rPr>
            </w:pPr>
            <w:r>
              <w:rPr>
                <w:rFonts w:hint="eastAsia"/>
                <w:color w:val="auto"/>
                <w:sz w:val="21"/>
                <w:szCs w:val="21"/>
              </w:rPr>
              <w:t>供货方案</w:t>
            </w:r>
            <w:r>
              <w:rPr>
                <w:rFonts w:hint="eastAsia"/>
                <w:color w:val="auto"/>
                <w:sz w:val="21"/>
                <w:szCs w:val="21"/>
                <w:lang w:val="en-US"/>
              </w:rPr>
              <w:t>15分</w:t>
            </w:r>
          </w:p>
        </w:tc>
        <w:tc>
          <w:tcPr>
            <w:tcW w:w="4858" w:type="dxa"/>
            <w:noWrap/>
            <w:vAlign w:val="center"/>
          </w:tcPr>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1、实施方案合理、完善得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.01-1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2、实施方案较合理、较完善得</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.01-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3、实施方案一般的得1</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5.00</w:t>
            </w:r>
            <w:r>
              <w:rPr>
                <w:rFonts w:hint="eastAsia" w:ascii="宋体" w:hAnsi="宋体" w:eastAsia="宋体" w:cs="宋体"/>
                <w:color w:val="auto"/>
                <w:sz w:val="21"/>
                <w:szCs w:val="21"/>
              </w:rPr>
              <w:t>分；</w:t>
            </w:r>
          </w:p>
          <w:p>
            <w:pPr>
              <w:numPr>
                <w:ilvl w:val="0"/>
                <w:numId w:val="0"/>
              </w:numPr>
              <w:spacing w:before="22"/>
              <w:ind w:left="0" w:leftChars="0" w:firstLine="0" w:firstLineChars="0"/>
              <w:rPr>
                <w:color w:val="auto"/>
                <w:sz w:val="21"/>
                <w:szCs w:val="21"/>
              </w:rPr>
            </w:pPr>
            <w:r>
              <w:rPr>
                <w:rFonts w:hint="eastAsia" w:ascii="宋体" w:hAnsi="宋体" w:eastAsia="宋体" w:cs="宋体"/>
                <w:color w:val="auto"/>
                <w:sz w:val="21"/>
                <w:szCs w:val="21"/>
              </w:rPr>
              <w:t>4、缺项得0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tcPr>
          <w:p>
            <w:pPr>
              <w:jc w:val="both"/>
              <w:rPr>
                <w:rFonts w:hint="eastAsia" w:ascii="宋体" w:hAnsi="宋体" w:eastAsia="宋体" w:cs="宋体"/>
                <w:color w:val="auto"/>
                <w:sz w:val="21"/>
                <w:szCs w:val="21"/>
              </w:rPr>
            </w:pPr>
          </w:p>
        </w:tc>
        <w:tc>
          <w:tcPr>
            <w:tcW w:w="1120" w:type="dxa"/>
            <w:vMerge w:val="continue"/>
            <w:noWrap/>
          </w:tcPr>
          <w:p>
            <w:pPr>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lang w:val="en-US" w:eastAsia="zh-CN"/>
              </w:rPr>
            </w:pPr>
            <w:r>
              <w:rPr>
                <w:rFonts w:hint="eastAsia"/>
                <w:color w:val="auto"/>
                <w:sz w:val="21"/>
                <w:szCs w:val="21"/>
              </w:rPr>
              <w:t>交货保障措施</w:t>
            </w:r>
            <w:r>
              <w:rPr>
                <w:rFonts w:hint="eastAsia"/>
                <w:color w:val="auto"/>
                <w:sz w:val="21"/>
                <w:szCs w:val="21"/>
                <w:lang w:val="en-US"/>
              </w:rPr>
              <w:t>15分</w:t>
            </w:r>
          </w:p>
        </w:tc>
        <w:tc>
          <w:tcPr>
            <w:tcW w:w="4858" w:type="dxa"/>
            <w:noWrap/>
            <w:vAlign w:val="center"/>
          </w:tcPr>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color w:val="auto"/>
                <w:sz w:val="21"/>
                <w:szCs w:val="21"/>
                <w:lang w:eastAsia="zh-CN"/>
              </w:rPr>
              <w:t>供货期</w:t>
            </w:r>
            <w:r>
              <w:rPr>
                <w:rFonts w:hint="eastAsia" w:ascii="宋体" w:hAnsi="宋体" w:eastAsia="宋体" w:cs="宋体"/>
                <w:color w:val="auto"/>
                <w:sz w:val="21"/>
                <w:szCs w:val="21"/>
              </w:rPr>
              <w:t>短且交货措施完善、科学、合理</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15</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eastAsia="zh-CN"/>
              </w:rPr>
              <w:t>供货期</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短且交货措施</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完善、科学、合理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cs="宋体"/>
                <w:color w:val="auto"/>
                <w:sz w:val="21"/>
                <w:szCs w:val="21"/>
                <w:lang w:val="en-US" w:eastAsia="zh-CN"/>
              </w:rPr>
              <w:t>供货期</w:t>
            </w:r>
            <w:r>
              <w:rPr>
                <w:rFonts w:hint="eastAsia" w:ascii="宋体" w:hAnsi="宋体" w:eastAsia="宋体" w:cs="宋体"/>
                <w:color w:val="auto"/>
                <w:sz w:val="21"/>
                <w:szCs w:val="21"/>
                <w:lang w:val="en-US" w:eastAsia="zh-CN"/>
              </w:rPr>
              <w:t>满足招标文件要求，交货保证措施一般1.01-5.00分；</w:t>
            </w:r>
          </w:p>
          <w:p>
            <w:pPr>
              <w:numPr>
                <w:ilvl w:val="0"/>
                <w:numId w:val="0"/>
              </w:numPr>
              <w:spacing w:before="22"/>
              <w:ind w:left="0" w:leftChars="0" w:firstLine="0" w:firstLineChars="0"/>
              <w:rPr>
                <w:color w:val="auto"/>
                <w:sz w:val="21"/>
                <w:szCs w:val="21"/>
              </w:rPr>
            </w:pPr>
            <w:r>
              <w:rPr>
                <w:rFonts w:hint="eastAsia" w:ascii="宋体" w:hAnsi="宋体" w:eastAsia="宋体" w:cs="宋体"/>
                <w:color w:val="auto"/>
                <w:sz w:val="21"/>
                <w:szCs w:val="21"/>
                <w:lang w:val="en-US" w:eastAsia="zh-CN"/>
              </w:rPr>
              <w:t>4、缺项得0-1.00分。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tcPr>
          <w:p>
            <w:pPr>
              <w:jc w:val="both"/>
              <w:rPr>
                <w:rFonts w:hint="eastAsia" w:ascii="宋体" w:hAnsi="宋体" w:eastAsia="宋体" w:cs="宋体"/>
                <w:color w:val="auto"/>
                <w:sz w:val="21"/>
                <w:szCs w:val="21"/>
              </w:rPr>
            </w:pPr>
          </w:p>
        </w:tc>
        <w:tc>
          <w:tcPr>
            <w:tcW w:w="1120" w:type="dxa"/>
            <w:vMerge w:val="continue"/>
            <w:noWrap/>
          </w:tcPr>
          <w:p>
            <w:pPr>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lang w:val="en-US"/>
              </w:rPr>
            </w:pPr>
            <w:r>
              <w:rPr>
                <w:rFonts w:hint="eastAsia"/>
                <w:color w:val="auto"/>
                <w:sz w:val="21"/>
                <w:szCs w:val="21"/>
              </w:rPr>
              <w:t>售后服务方案</w:t>
            </w:r>
            <w:r>
              <w:rPr>
                <w:rFonts w:hint="eastAsia"/>
                <w:color w:val="auto"/>
                <w:sz w:val="21"/>
                <w:szCs w:val="21"/>
                <w:lang w:eastAsia="zh-CN"/>
              </w:rPr>
              <w:t>及承诺</w:t>
            </w:r>
            <w:r>
              <w:rPr>
                <w:rFonts w:hint="eastAsia"/>
                <w:color w:val="auto"/>
                <w:sz w:val="21"/>
                <w:szCs w:val="21"/>
                <w:lang w:val="en-US" w:eastAsia="zh-CN"/>
              </w:rPr>
              <w:t>10</w:t>
            </w:r>
            <w:r>
              <w:rPr>
                <w:rFonts w:hint="eastAsia"/>
                <w:color w:val="auto"/>
                <w:sz w:val="21"/>
                <w:szCs w:val="21"/>
                <w:lang w:val="en-US"/>
              </w:rPr>
              <w:t>分</w:t>
            </w:r>
          </w:p>
        </w:tc>
        <w:tc>
          <w:tcPr>
            <w:tcW w:w="4858" w:type="dxa"/>
            <w:noWrap/>
            <w:vAlign w:val="center"/>
          </w:tcPr>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1、售</w:t>
            </w:r>
            <w:r>
              <w:rPr>
                <w:rFonts w:hint="eastAsia" w:ascii="宋体" w:hAnsi="宋体" w:eastAsia="宋体" w:cs="宋体"/>
                <w:color w:val="auto"/>
                <w:sz w:val="21"/>
                <w:szCs w:val="21"/>
                <w:lang w:val="en-US" w:eastAsia="zh-CN"/>
              </w:rPr>
              <w:t>后服务方案合理、完善得7.01-10.00分；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2、售后服务较合理、较完善得3.01-7.00分；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3、售后服务方案一般得1.01-3.00分；</w:t>
            </w:r>
          </w:p>
          <w:p>
            <w:pPr>
              <w:numPr>
                <w:ilvl w:val="0"/>
                <w:numId w:val="0"/>
              </w:numPr>
              <w:spacing w:before="22"/>
              <w:ind w:left="0" w:leftChars="0" w:firstLine="0" w:firstLineChars="0"/>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4、缺项得0-1.00分。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920" w:type="dxa"/>
            <w:vMerge w:val="restart"/>
            <w:noWrap/>
          </w:tcPr>
          <w:p>
            <w:pPr>
              <w:pStyle w:val="50"/>
              <w:spacing w:before="148"/>
              <w:ind w:left="196"/>
              <w:jc w:val="both"/>
              <w:rPr>
                <w:rFonts w:hint="eastAsia" w:ascii="宋体" w:hAnsi="宋体" w:eastAsia="宋体" w:cs="宋体"/>
                <w:color w:val="auto"/>
                <w:sz w:val="21"/>
                <w:szCs w:val="21"/>
              </w:rPr>
            </w:pPr>
            <w:r>
              <w:rPr>
                <w:rFonts w:hint="eastAsia" w:ascii="宋体" w:hAnsi="宋体" w:eastAsia="宋体" w:cs="宋体"/>
                <w:color w:val="auto"/>
                <w:sz w:val="21"/>
                <w:szCs w:val="21"/>
              </w:rPr>
              <w:t>2.2.4</w:t>
            </w:r>
          </w:p>
          <w:p>
            <w:pPr>
              <w:pStyle w:val="50"/>
              <w:spacing w:before="186"/>
              <w:ind w:left="138"/>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w:t>
            </w:r>
          </w:p>
        </w:tc>
        <w:tc>
          <w:tcPr>
            <w:tcW w:w="1120" w:type="dxa"/>
            <w:vMerge w:val="restart"/>
            <w:noWrap/>
            <w:vAlign w:val="center"/>
          </w:tcPr>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w w:val="95"/>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30分</w:t>
            </w:r>
            <w:r>
              <w:rPr>
                <w:rFonts w:hint="eastAsia" w:ascii="宋体" w:hAnsi="宋体" w:eastAsia="宋体" w:cs="宋体"/>
                <w:color w:val="auto"/>
                <w:sz w:val="21"/>
                <w:szCs w:val="21"/>
              </w:rPr>
              <w:t>）</w:t>
            </w:r>
          </w:p>
        </w:tc>
        <w:tc>
          <w:tcPr>
            <w:tcW w:w="2480" w:type="dxa"/>
            <w:noWrap/>
          </w:tcPr>
          <w:p>
            <w:pPr>
              <w:pStyle w:val="50"/>
              <w:spacing w:before="134"/>
              <w:ind w:left="119"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偏差率</w:t>
            </w:r>
          </w:p>
        </w:tc>
        <w:tc>
          <w:tcPr>
            <w:tcW w:w="4858" w:type="dxa"/>
            <w:noWrap/>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偏差率=100% ×（</w:t>
            </w: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报价−评标基准价）/评标基准价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920" w:type="dxa"/>
            <w:vMerge w:val="continue"/>
            <w:noWrap/>
          </w:tcPr>
          <w:p>
            <w:pPr>
              <w:rPr>
                <w:color w:val="auto"/>
                <w:sz w:val="21"/>
                <w:szCs w:val="21"/>
              </w:rPr>
            </w:pPr>
          </w:p>
        </w:tc>
        <w:tc>
          <w:tcPr>
            <w:tcW w:w="1120" w:type="dxa"/>
            <w:vMerge w:val="continue"/>
            <w:noWrap/>
          </w:tcPr>
          <w:p>
            <w:pPr>
              <w:rPr>
                <w:color w:val="auto"/>
                <w:sz w:val="21"/>
                <w:szCs w:val="21"/>
              </w:rPr>
            </w:pPr>
          </w:p>
        </w:tc>
        <w:tc>
          <w:tcPr>
            <w:tcW w:w="2480" w:type="dxa"/>
            <w:noWrap/>
            <w:vAlign w:val="center"/>
          </w:tcPr>
          <w:p>
            <w:pPr>
              <w:pStyle w:val="50"/>
              <w:spacing w:before="143"/>
              <w:ind w:right="103"/>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报价得分30分</w:t>
            </w:r>
          </w:p>
        </w:tc>
        <w:tc>
          <w:tcPr>
            <w:tcW w:w="4858"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有效投标报价的投标报价等于评标基准价得</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0分，每比评标基准价高1%扣</w:t>
            </w:r>
            <w:r>
              <w:rPr>
                <w:rFonts w:hint="eastAsia" w:cs="宋体"/>
                <w:color w:val="auto"/>
                <w:sz w:val="21"/>
                <w:szCs w:val="21"/>
                <w:lang w:val="en-US" w:eastAsia="zh-CN"/>
              </w:rPr>
              <w:t>0.6</w:t>
            </w:r>
            <w:r>
              <w:rPr>
                <w:rFonts w:hint="eastAsia" w:ascii="宋体" w:hAnsi="宋体" w:eastAsia="宋体" w:cs="宋体"/>
                <w:color w:val="auto"/>
                <w:sz w:val="21"/>
                <w:szCs w:val="21"/>
              </w:rPr>
              <w:t>分，每比评标基准价低1%扣0.</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分，余额部分按插值法计算，扣完为止。</w:t>
            </w:r>
          </w:p>
        </w:tc>
      </w:tr>
    </w:tbl>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第四章 主要合同条款</w:t>
      </w:r>
    </w:p>
    <w:p>
      <w:pPr>
        <w:pStyle w:val="18"/>
        <w:ind w:firstLine="0" w:firstLineChars="0"/>
      </w:pPr>
      <w:r>
        <w:rPr>
          <w:rFonts w:hint="eastAsia"/>
          <w:b/>
          <w:bCs/>
          <w:szCs w:val="24"/>
        </w:rPr>
        <w:t>签订合同时双方协商，以双方最终签订合同为准。</w:t>
      </w:r>
    </w:p>
    <w:p>
      <w:pPr>
        <w:spacing w:line="276" w:lineRule="auto"/>
        <w:rPr>
          <w:sz w:val="24"/>
          <w:szCs w:val="24"/>
        </w:rPr>
      </w:pPr>
    </w:p>
    <w:p>
      <w:pPr>
        <w:spacing w:line="360" w:lineRule="auto"/>
        <w:jc w:val="center"/>
        <w:rPr>
          <w:rFonts w:hint="eastAsia" w:ascii="仿宋_GB2312"/>
          <w:b/>
          <w:color w:val="auto"/>
          <w:sz w:val="44"/>
          <w:szCs w:val="44"/>
        </w:rPr>
      </w:pPr>
      <w:r>
        <w:rPr>
          <w:rFonts w:hint="eastAsia" w:ascii="仿宋_GB2312"/>
          <w:b/>
          <w:color w:val="auto"/>
          <w:sz w:val="44"/>
          <w:szCs w:val="44"/>
        </w:rPr>
        <w:t>采购合同</w:t>
      </w:r>
    </w:p>
    <w:p>
      <w:pPr>
        <w:spacing w:line="360" w:lineRule="auto"/>
        <w:jc w:val="center"/>
        <w:rPr>
          <w:rFonts w:hint="eastAsia" w:ascii="仿宋_GB2312" w:eastAsia="宋体"/>
          <w:b/>
          <w:bCs/>
          <w:color w:val="auto"/>
          <w:sz w:val="24"/>
          <w:lang w:eastAsia="zh-CN"/>
        </w:rPr>
      </w:pPr>
      <w:r>
        <w:rPr>
          <w:rFonts w:hint="eastAsia" w:ascii="仿宋_GB2312"/>
          <w:b/>
          <w:bCs/>
          <w:color w:val="auto"/>
          <w:sz w:val="24"/>
          <w:lang w:eastAsia="zh-CN"/>
        </w:rPr>
        <w:t>（本合同仅供参考，双方签订合同可进行修改优化）</w:t>
      </w:r>
    </w:p>
    <w:p>
      <w:pPr>
        <w:pStyle w:val="2"/>
        <w:rPr>
          <w:color w:val="auto"/>
        </w:rPr>
      </w:pPr>
    </w:p>
    <w:p>
      <w:pPr>
        <w:spacing w:line="360" w:lineRule="auto"/>
        <w:rPr>
          <w:rFonts w:ascii="仿宋_GB2312"/>
          <w:b/>
          <w:bCs/>
          <w:color w:val="auto"/>
          <w:sz w:val="24"/>
        </w:rPr>
      </w:pPr>
      <w:r>
        <w:rPr>
          <w:rFonts w:hint="eastAsia" w:ascii="仿宋_GB2312"/>
          <w:b/>
          <w:bCs/>
          <w:color w:val="auto"/>
          <w:sz w:val="24"/>
        </w:rPr>
        <w:t>甲方（需方）：</w:t>
      </w:r>
      <w:r>
        <w:rPr>
          <w:b/>
          <w:bCs/>
          <w:color w:val="auto"/>
          <w:sz w:val="24"/>
          <w:u w:val="single"/>
        </w:rPr>
        <w:t xml:space="preserve">                 </w:t>
      </w:r>
      <w:r>
        <w:rPr>
          <w:rFonts w:hint="eastAsia" w:ascii="仿宋_GB2312"/>
          <w:b/>
          <w:bCs/>
          <w:color w:val="auto"/>
          <w:sz w:val="24"/>
        </w:rPr>
        <w:t>（以下简称甲方）</w:t>
      </w:r>
    </w:p>
    <w:p>
      <w:pPr>
        <w:spacing w:line="360" w:lineRule="auto"/>
        <w:rPr>
          <w:rFonts w:ascii="仿宋_GB2312"/>
          <w:color w:val="auto"/>
          <w:sz w:val="24"/>
        </w:rPr>
      </w:pPr>
      <w:r>
        <w:rPr>
          <w:rFonts w:hint="eastAsia" w:ascii="仿宋_GB2312"/>
          <w:b/>
          <w:bCs/>
          <w:color w:val="auto"/>
          <w:sz w:val="24"/>
        </w:rPr>
        <w:t>乙方（供方）：</w:t>
      </w:r>
      <w:r>
        <w:rPr>
          <w:b/>
          <w:bCs/>
          <w:color w:val="auto"/>
          <w:sz w:val="24"/>
          <w:u w:val="single"/>
        </w:rPr>
        <w:t xml:space="preserve">                 </w:t>
      </w:r>
      <w:r>
        <w:rPr>
          <w:rFonts w:hint="eastAsia" w:ascii="仿宋_GB2312"/>
          <w:b/>
          <w:bCs/>
          <w:color w:val="auto"/>
          <w:sz w:val="24"/>
        </w:rPr>
        <w:t>（以下简称乙方）</w:t>
      </w:r>
    </w:p>
    <w:p>
      <w:pPr>
        <w:spacing w:line="360" w:lineRule="auto"/>
        <w:ind w:firstLine="360" w:firstLineChars="150"/>
        <w:rPr>
          <w:rFonts w:ascii="仿宋_GB2312"/>
          <w:color w:val="auto"/>
          <w:sz w:val="24"/>
        </w:rPr>
      </w:pPr>
      <w:r>
        <w:rPr>
          <w:rFonts w:hint="eastAsia" w:ascii="仿宋_GB2312"/>
          <w:color w:val="auto"/>
          <w:sz w:val="24"/>
        </w:rPr>
        <w:t>本合同根据</w:t>
      </w:r>
      <w:r>
        <w:rPr>
          <w:rFonts w:ascii="仿宋_GB2312"/>
          <w:color w:val="auto"/>
          <w:sz w:val="24"/>
          <w:u w:val="single"/>
        </w:rPr>
        <w:t xml:space="preserve">             </w:t>
      </w:r>
      <w:r>
        <w:rPr>
          <w:rFonts w:hint="eastAsia" w:ascii="仿宋_GB2312"/>
          <w:color w:val="auto"/>
          <w:sz w:val="24"/>
        </w:rPr>
        <w:t>采购项目招标文件（</w:t>
      </w:r>
      <w:r>
        <w:rPr>
          <w:rFonts w:hint="eastAsia" w:ascii="仿宋_GB2312"/>
          <w:color w:val="auto"/>
          <w:sz w:val="24"/>
          <w:lang w:eastAsia="zh-CN"/>
        </w:rPr>
        <w:t>项目包件编号</w:t>
      </w:r>
      <w:r>
        <w:rPr>
          <w:rFonts w:hint="eastAsia" w:ascii="仿宋_GB2312"/>
          <w:color w:val="auto"/>
          <w:sz w:val="24"/>
        </w:rPr>
        <w:t>：</w:t>
      </w:r>
      <w:r>
        <w:rPr>
          <w:rFonts w:ascii="仿宋_GB2312"/>
          <w:color w:val="auto"/>
          <w:sz w:val="24"/>
          <w:u w:val="single"/>
        </w:rPr>
        <w:t xml:space="preserve">       </w:t>
      </w:r>
      <w:r>
        <w:rPr>
          <w:rFonts w:hint="eastAsia" w:ascii="仿宋_GB2312"/>
          <w:color w:val="auto"/>
          <w:sz w:val="24"/>
        </w:rPr>
        <w:t>）和该项目招标的中标通知书，并经甲乙双方协商同意签订本合同：</w:t>
      </w:r>
    </w:p>
    <w:p>
      <w:pPr>
        <w:spacing w:line="360" w:lineRule="auto"/>
        <w:rPr>
          <w:rFonts w:ascii="仿宋_GB2312"/>
          <w:b/>
          <w:color w:val="auto"/>
          <w:sz w:val="24"/>
        </w:rPr>
      </w:pPr>
      <w:r>
        <w:rPr>
          <w:rFonts w:ascii="仿宋_GB2312"/>
          <w:b/>
          <w:color w:val="auto"/>
          <w:sz w:val="24"/>
        </w:rPr>
        <w:t>1.</w:t>
      </w:r>
      <w:r>
        <w:rPr>
          <w:rFonts w:hint="eastAsia" w:ascii="仿宋_GB2312"/>
          <w:b/>
          <w:color w:val="auto"/>
          <w:sz w:val="24"/>
        </w:rPr>
        <w:t>总则</w:t>
      </w:r>
    </w:p>
    <w:p>
      <w:pPr>
        <w:spacing w:line="360" w:lineRule="auto"/>
        <w:rPr>
          <w:rFonts w:ascii="仿宋_GB2312"/>
          <w:color w:val="auto"/>
          <w:sz w:val="24"/>
        </w:rPr>
      </w:pPr>
      <w:r>
        <w:rPr>
          <w:rFonts w:ascii="仿宋_GB2312"/>
          <w:color w:val="auto"/>
          <w:sz w:val="24"/>
        </w:rPr>
        <w:t>1.1</w:t>
      </w:r>
      <w:r>
        <w:rPr>
          <w:rFonts w:hint="eastAsia" w:ascii="仿宋_GB2312"/>
          <w:color w:val="auto"/>
          <w:sz w:val="24"/>
        </w:rPr>
        <w:t>本合同甲乙双方必须遵守国家颁布的</w:t>
      </w:r>
      <w:r>
        <w:rPr>
          <w:rFonts w:hint="eastAsia" w:ascii="仿宋_GB2312"/>
          <w:color w:val="auto"/>
          <w:sz w:val="24"/>
          <w:lang w:eastAsia="zh-CN"/>
        </w:rPr>
        <w:t>民法典</w:t>
      </w:r>
      <w:r>
        <w:rPr>
          <w:rFonts w:hint="eastAsia" w:ascii="仿宋_GB2312"/>
          <w:color w:val="auto"/>
          <w:sz w:val="24"/>
        </w:rPr>
        <w:t>，并各自履行应负的全部责任。</w:t>
      </w:r>
    </w:p>
    <w:p>
      <w:pPr>
        <w:spacing w:line="360" w:lineRule="auto"/>
        <w:rPr>
          <w:rFonts w:ascii="仿宋_GB2312"/>
          <w:color w:val="auto"/>
          <w:sz w:val="24"/>
        </w:rPr>
      </w:pPr>
      <w:r>
        <w:rPr>
          <w:rFonts w:ascii="仿宋_GB2312"/>
          <w:color w:val="auto"/>
          <w:sz w:val="24"/>
        </w:rPr>
        <w:t>1.2</w:t>
      </w:r>
      <w:r>
        <w:rPr>
          <w:rFonts w:hint="eastAsia" w:ascii="仿宋_GB2312"/>
          <w:color w:val="auto"/>
          <w:sz w:val="24"/>
        </w:rPr>
        <w:t>下列文件均为本合同不可分割部分：</w:t>
      </w:r>
    </w:p>
    <w:p>
      <w:pPr>
        <w:spacing w:line="360" w:lineRule="auto"/>
        <w:rPr>
          <w:rFonts w:ascii="仿宋_GB2312"/>
          <w:color w:val="auto"/>
          <w:sz w:val="24"/>
        </w:rPr>
      </w:pPr>
      <w:r>
        <w:rPr>
          <w:rFonts w:ascii="仿宋_GB2312"/>
          <w:color w:val="auto"/>
          <w:sz w:val="24"/>
        </w:rPr>
        <w:t>1.2.1</w:t>
      </w:r>
      <w:r>
        <w:rPr>
          <w:rFonts w:hint="eastAsia" w:ascii="仿宋_GB2312"/>
          <w:color w:val="auto"/>
          <w:sz w:val="24"/>
        </w:rPr>
        <w:t>项目招标文件（</w:t>
      </w:r>
      <w:r>
        <w:rPr>
          <w:rFonts w:hint="eastAsia" w:ascii="仿宋_GB2312"/>
          <w:color w:val="auto"/>
          <w:sz w:val="24"/>
          <w:lang w:eastAsia="zh-CN"/>
        </w:rPr>
        <w:t>项目包件编号</w:t>
      </w:r>
      <w:r>
        <w:rPr>
          <w:rFonts w:hint="eastAsia" w:ascii="仿宋_GB2312"/>
          <w:color w:val="auto"/>
          <w:sz w:val="24"/>
        </w:rPr>
        <w:t>：</w:t>
      </w:r>
      <w:r>
        <w:rPr>
          <w:color w:val="auto"/>
          <w:sz w:val="24"/>
          <w:u w:val="single"/>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1.2.2</w:t>
      </w:r>
      <w:r>
        <w:rPr>
          <w:rFonts w:hint="eastAsia" w:ascii="仿宋_GB2312"/>
          <w:color w:val="auto"/>
          <w:sz w:val="24"/>
        </w:rPr>
        <w:t>乙方中标的投标文件；</w:t>
      </w:r>
    </w:p>
    <w:p>
      <w:pPr>
        <w:spacing w:line="360" w:lineRule="auto"/>
        <w:rPr>
          <w:rFonts w:ascii="仿宋_GB2312"/>
          <w:color w:val="auto"/>
          <w:sz w:val="24"/>
        </w:rPr>
      </w:pPr>
      <w:r>
        <w:rPr>
          <w:rFonts w:ascii="仿宋_GB2312"/>
          <w:color w:val="auto"/>
          <w:sz w:val="24"/>
        </w:rPr>
        <w:t>1.2.3</w:t>
      </w:r>
      <w:r>
        <w:rPr>
          <w:rFonts w:hint="eastAsia" w:ascii="仿宋_GB2312"/>
          <w:color w:val="auto"/>
          <w:sz w:val="24"/>
        </w:rPr>
        <w:t>中标通知书；</w:t>
      </w:r>
      <w:r>
        <w:rPr>
          <w:rFonts w:ascii="仿宋_GB2312"/>
          <w:color w:val="auto"/>
          <w:sz w:val="24"/>
        </w:rPr>
        <w:t xml:space="preserve">                        </w:t>
      </w:r>
    </w:p>
    <w:p>
      <w:pPr>
        <w:spacing w:line="360" w:lineRule="auto"/>
        <w:rPr>
          <w:rFonts w:ascii="仿宋_GB2312"/>
          <w:color w:val="auto"/>
          <w:sz w:val="24"/>
        </w:rPr>
      </w:pPr>
      <w:r>
        <w:rPr>
          <w:rFonts w:ascii="仿宋_GB2312"/>
          <w:color w:val="auto"/>
          <w:sz w:val="24"/>
        </w:rPr>
        <w:t>1.2.4</w:t>
      </w:r>
      <w:r>
        <w:rPr>
          <w:rFonts w:hint="eastAsia" w:ascii="仿宋_GB2312"/>
          <w:color w:val="auto"/>
          <w:sz w:val="24"/>
        </w:rPr>
        <w:t>乙方在招投标过程中所作的其它承诺、声明、书面澄清等；</w:t>
      </w:r>
    </w:p>
    <w:p>
      <w:pPr>
        <w:spacing w:line="360" w:lineRule="auto"/>
        <w:rPr>
          <w:rFonts w:ascii="仿宋_GB2312"/>
          <w:color w:val="auto"/>
          <w:sz w:val="24"/>
        </w:rPr>
      </w:pPr>
      <w:r>
        <w:rPr>
          <w:rFonts w:ascii="仿宋_GB2312"/>
          <w:color w:val="auto"/>
          <w:sz w:val="24"/>
        </w:rPr>
        <w:t>1.2.5</w:t>
      </w:r>
      <w:r>
        <w:rPr>
          <w:rFonts w:hint="eastAsia" w:ascii="仿宋_GB2312"/>
          <w:color w:val="auto"/>
          <w:sz w:val="24"/>
        </w:rPr>
        <w:t>与项目招标有关的其他补充资料；</w:t>
      </w:r>
    </w:p>
    <w:p>
      <w:pPr>
        <w:spacing w:line="360" w:lineRule="auto"/>
        <w:rPr>
          <w:rFonts w:ascii="仿宋_GB2312"/>
          <w:color w:val="auto"/>
          <w:sz w:val="24"/>
        </w:rPr>
      </w:pPr>
      <w:r>
        <w:rPr>
          <w:rFonts w:ascii="仿宋_GB2312"/>
          <w:color w:val="auto"/>
          <w:sz w:val="24"/>
        </w:rPr>
        <w:t>1.3</w:t>
      </w:r>
      <w:r>
        <w:rPr>
          <w:rFonts w:hint="eastAsia" w:ascii="仿宋_GB2312"/>
          <w:color w:val="auto"/>
          <w:sz w:val="24"/>
        </w:rPr>
        <w:t>乙方保证全部按照合同条款的规定和时间向甲方提供合格的货物和服务。</w:t>
      </w:r>
    </w:p>
    <w:p>
      <w:pPr>
        <w:spacing w:line="360" w:lineRule="auto"/>
        <w:rPr>
          <w:rFonts w:ascii="仿宋_GB2312"/>
          <w:color w:val="auto"/>
          <w:sz w:val="24"/>
        </w:rPr>
      </w:pPr>
      <w:r>
        <w:rPr>
          <w:rFonts w:ascii="仿宋_GB2312"/>
          <w:color w:val="auto"/>
          <w:sz w:val="24"/>
        </w:rPr>
        <w:t>1.4</w:t>
      </w:r>
      <w:r>
        <w:rPr>
          <w:rFonts w:hint="eastAsia" w:ascii="仿宋_GB2312"/>
          <w:color w:val="auto"/>
          <w:sz w:val="24"/>
        </w:rPr>
        <w:t>甲方保证按照合同条款规定付给乙方货款。</w:t>
      </w:r>
    </w:p>
    <w:p>
      <w:pPr>
        <w:spacing w:line="360" w:lineRule="auto"/>
        <w:rPr>
          <w:rFonts w:ascii="仿宋_GB2312"/>
          <w:b/>
          <w:bCs/>
          <w:color w:val="auto"/>
          <w:sz w:val="24"/>
        </w:rPr>
      </w:pPr>
      <w:r>
        <w:rPr>
          <w:rFonts w:ascii="仿宋_GB2312"/>
          <w:b/>
          <w:bCs/>
          <w:color w:val="auto"/>
          <w:sz w:val="24"/>
        </w:rPr>
        <w:t>2.</w:t>
      </w:r>
      <w:r>
        <w:rPr>
          <w:rFonts w:hint="eastAsia" w:ascii="仿宋_GB2312"/>
          <w:b/>
          <w:bCs/>
          <w:color w:val="auto"/>
          <w:sz w:val="24"/>
        </w:rPr>
        <w:t>合同内容</w:t>
      </w:r>
    </w:p>
    <w:p>
      <w:pPr>
        <w:spacing w:line="360" w:lineRule="auto"/>
        <w:rPr>
          <w:rFonts w:ascii="仿宋_GB2312"/>
          <w:color w:val="auto"/>
          <w:sz w:val="24"/>
        </w:rPr>
      </w:pPr>
      <w:r>
        <w:rPr>
          <w:rFonts w:ascii="仿宋_GB2312"/>
          <w:color w:val="auto"/>
          <w:sz w:val="24"/>
        </w:rPr>
        <w:t>2.1</w:t>
      </w:r>
      <w:r>
        <w:rPr>
          <w:rFonts w:hint="eastAsia" w:ascii="仿宋_GB2312"/>
          <w:color w:val="auto"/>
          <w:sz w:val="24"/>
        </w:rPr>
        <w:t>完成时间：</w:t>
      </w:r>
      <w:r>
        <w:rPr>
          <w:rFonts w:hint="eastAsia" w:ascii="仿宋_GB2312"/>
          <w:color w:val="auto"/>
          <w:sz w:val="24"/>
          <w:lang w:val="en-US" w:eastAsia="zh-CN"/>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2.2</w:t>
      </w:r>
      <w:r>
        <w:rPr>
          <w:rFonts w:hint="eastAsia" w:ascii="仿宋_GB2312"/>
          <w:color w:val="auto"/>
          <w:sz w:val="24"/>
        </w:rPr>
        <w:t>交货地点：</w:t>
      </w:r>
      <w:r>
        <w:rPr>
          <w:rFonts w:hint="eastAsia" w:ascii="仿宋_GB2312"/>
          <w:color w:val="auto"/>
          <w:sz w:val="24"/>
          <w:lang w:val="en-US" w:eastAsia="zh-CN"/>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2.3</w:t>
      </w:r>
      <w:r>
        <w:rPr>
          <w:rFonts w:hint="eastAsia" w:ascii="仿宋_GB2312"/>
          <w:color w:val="auto"/>
          <w:sz w:val="24"/>
        </w:rPr>
        <w:t>交货方式：甲方指定。</w:t>
      </w:r>
    </w:p>
    <w:p>
      <w:pPr>
        <w:spacing w:line="360" w:lineRule="auto"/>
        <w:rPr>
          <w:rFonts w:ascii="仿宋_GB2312"/>
          <w:color w:val="auto"/>
          <w:sz w:val="24"/>
        </w:rPr>
      </w:pPr>
      <w:r>
        <w:rPr>
          <w:rFonts w:ascii="仿宋_GB2312"/>
          <w:color w:val="auto"/>
          <w:sz w:val="24"/>
        </w:rPr>
        <w:t>2.4</w:t>
      </w:r>
      <w:r>
        <w:rPr>
          <w:rFonts w:hint="eastAsia" w:ascii="仿宋_GB2312"/>
          <w:color w:val="auto"/>
          <w:sz w:val="24"/>
        </w:rPr>
        <w:t>货物清单：需要与投标文件一致。</w:t>
      </w:r>
    </w:p>
    <w:p>
      <w:pPr>
        <w:spacing w:line="360" w:lineRule="auto"/>
        <w:rPr>
          <w:rFonts w:ascii="仿宋_GB2312"/>
          <w:b/>
          <w:bCs/>
          <w:color w:val="auto"/>
          <w:sz w:val="24"/>
        </w:rPr>
      </w:pPr>
      <w:r>
        <w:rPr>
          <w:rFonts w:ascii="仿宋_GB2312"/>
          <w:b/>
          <w:color w:val="auto"/>
          <w:sz w:val="24"/>
        </w:rPr>
        <w:t>3.</w:t>
      </w:r>
      <w:r>
        <w:rPr>
          <w:rFonts w:hint="eastAsia" w:ascii="仿宋_GB2312"/>
          <w:b/>
          <w:color w:val="auto"/>
          <w:sz w:val="24"/>
        </w:rPr>
        <w:t>合同价款及付款方式</w:t>
      </w:r>
    </w:p>
    <w:p>
      <w:pPr>
        <w:spacing w:line="360" w:lineRule="auto"/>
        <w:rPr>
          <w:rFonts w:ascii="仿宋_GB2312"/>
          <w:color w:val="auto"/>
          <w:sz w:val="24"/>
        </w:rPr>
      </w:pPr>
      <w:r>
        <w:rPr>
          <w:rFonts w:ascii="仿宋_GB2312"/>
          <w:color w:val="auto"/>
          <w:sz w:val="24"/>
        </w:rPr>
        <w:t>3.1</w:t>
      </w:r>
      <w:r>
        <w:rPr>
          <w:rFonts w:hint="eastAsia" w:ascii="仿宋_GB2312"/>
          <w:color w:val="auto"/>
          <w:sz w:val="24"/>
        </w:rPr>
        <w:t>合同价款按中标价格执行，合同价款为人民币（大写）</w:t>
      </w:r>
      <w:r>
        <w:rPr>
          <w:color w:val="auto"/>
          <w:sz w:val="24"/>
          <w:u w:val="single"/>
        </w:rPr>
        <w:t xml:space="preserve">        </w:t>
      </w:r>
      <w:r>
        <w:rPr>
          <w:rFonts w:ascii="仿宋_GB2312"/>
          <w:color w:val="auto"/>
          <w:sz w:val="24"/>
          <w:u w:val="single"/>
        </w:rPr>
        <w:t xml:space="preserve"> </w:t>
      </w:r>
      <w:r>
        <w:rPr>
          <w:rFonts w:hint="eastAsia" w:ascii="仿宋_GB2312"/>
          <w:color w:val="auto"/>
          <w:sz w:val="24"/>
        </w:rPr>
        <w:t>（￥</w:t>
      </w:r>
      <w:r>
        <w:rPr>
          <w:rFonts w:hint="eastAsia" w:ascii="仿宋_GB2312"/>
          <w:color w:val="auto"/>
          <w:sz w:val="24"/>
          <w:u w:val="single"/>
        </w:rPr>
        <w:t>：</w:t>
      </w:r>
      <w:r>
        <w:rPr>
          <w:color w:val="auto"/>
          <w:sz w:val="24"/>
          <w:u w:val="single"/>
        </w:rPr>
        <w:t xml:space="preserve">    </w:t>
      </w:r>
      <w:r>
        <w:rPr>
          <w:rFonts w:hint="eastAsia"/>
          <w:color w:val="auto"/>
          <w:sz w:val="24"/>
          <w:u w:val="single"/>
        </w:rPr>
        <w:t>元</w:t>
      </w:r>
      <w:r>
        <w:rPr>
          <w:rFonts w:hint="eastAsia" w:ascii="仿宋_GB2312"/>
          <w:color w:val="auto"/>
          <w:sz w:val="24"/>
        </w:rPr>
        <w:t>）。包括完成本项目所需的人工、材料、</w:t>
      </w:r>
      <w:r>
        <w:rPr>
          <w:rFonts w:hint="eastAsia" w:ascii="仿宋_GB2312"/>
          <w:color w:val="auto"/>
          <w:sz w:val="24"/>
          <w:lang w:val="en-US" w:eastAsia="zh-CN"/>
        </w:rPr>
        <w:t>安装、</w:t>
      </w:r>
      <w:r>
        <w:rPr>
          <w:rFonts w:hint="eastAsia" w:ascii="仿宋_GB2312"/>
          <w:color w:val="auto"/>
          <w:sz w:val="24"/>
        </w:rPr>
        <w:t>机械、管理、运输、维护、保险、利润、税金、政策性文件规定及合同包含的各项应有费用。投标报价为最终报价，除非因特殊原因并经双方协商同意，乙方不得再要求追加任何费用。同时，除非合同条款中另有规定，否则，乙方所报价格在合同实施期间不因市场变化因素而变动。</w:t>
      </w:r>
    </w:p>
    <w:p>
      <w:pPr>
        <w:spacing w:line="360" w:lineRule="auto"/>
        <w:rPr>
          <w:color w:val="auto"/>
          <w:sz w:val="24"/>
        </w:rPr>
      </w:pPr>
      <w:r>
        <w:rPr>
          <w:rFonts w:ascii="仿宋_GB2312"/>
          <w:color w:val="auto"/>
          <w:sz w:val="24"/>
        </w:rPr>
        <w:t>3.2</w:t>
      </w:r>
      <w:r>
        <w:rPr>
          <w:rFonts w:hint="eastAsia" w:ascii="仿宋_GB2312"/>
          <w:color w:val="auto"/>
          <w:sz w:val="24"/>
        </w:rPr>
        <w:t>付款方式：</w:t>
      </w:r>
    </w:p>
    <w:p>
      <w:pPr>
        <w:spacing w:line="360" w:lineRule="auto"/>
        <w:ind w:left="120" w:hanging="120" w:hangingChars="50"/>
        <w:rPr>
          <w:rFonts w:ascii="仿宋_GB2312"/>
          <w:color w:val="auto"/>
          <w:sz w:val="24"/>
        </w:rPr>
      </w:pPr>
      <w:r>
        <w:rPr>
          <w:rFonts w:ascii="仿宋_GB2312"/>
          <w:color w:val="auto"/>
          <w:sz w:val="24"/>
        </w:rPr>
        <w:t>3.3</w:t>
      </w:r>
      <w:r>
        <w:rPr>
          <w:rFonts w:hint="eastAsia" w:ascii="仿宋_GB2312"/>
          <w:color w:val="auto"/>
          <w:sz w:val="24"/>
        </w:rPr>
        <w:t>根据国家现行税法对甲方征收的与本合同有关的税费均由甲方承担；根据国家现行税法对乙方征收的与本合同有关的一切税费均由乙方承担。</w:t>
      </w:r>
    </w:p>
    <w:p>
      <w:pPr>
        <w:spacing w:line="360" w:lineRule="auto"/>
        <w:rPr>
          <w:rFonts w:ascii="仿宋_GB2312"/>
          <w:b/>
          <w:color w:val="auto"/>
          <w:sz w:val="24"/>
        </w:rPr>
      </w:pPr>
      <w:r>
        <w:rPr>
          <w:rFonts w:ascii="仿宋_GB2312"/>
          <w:b/>
          <w:color w:val="auto"/>
          <w:sz w:val="24"/>
        </w:rPr>
        <w:t>4.</w:t>
      </w:r>
      <w:r>
        <w:rPr>
          <w:rFonts w:hint="eastAsia" w:ascii="仿宋_GB2312"/>
          <w:b/>
          <w:color w:val="auto"/>
          <w:sz w:val="24"/>
        </w:rPr>
        <w:t>质量与检验</w:t>
      </w:r>
    </w:p>
    <w:p>
      <w:pPr>
        <w:spacing w:line="360" w:lineRule="auto"/>
        <w:rPr>
          <w:rFonts w:ascii="仿宋_GB2312"/>
          <w:color w:val="auto"/>
          <w:sz w:val="24"/>
        </w:rPr>
      </w:pPr>
      <w:r>
        <w:rPr>
          <w:rFonts w:ascii="仿宋_GB2312"/>
          <w:color w:val="auto"/>
          <w:sz w:val="24"/>
        </w:rPr>
        <w:t>4.1</w:t>
      </w:r>
      <w:r>
        <w:rPr>
          <w:rFonts w:hint="eastAsia" w:ascii="仿宋_GB2312"/>
          <w:color w:val="auto"/>
          <w:sz w:val="24"/>
        </w:rPr>
        <w:t>乙方必须提供全新的、完全符合国家有关质量标准的货物。</w:t>
      </w:r>
    </w:p>
    <w:p>
      <w:pPr>
        <w:spacing w:line="360" w:lineRule="auto"/>
        <w:rPr>
          <w:rFonts w:ascii="仿宋_GB2312"/>
          <w:color w:val="auto"/>
          <w:sz w:val="24"/>
        </w:rPr>
      </w:pPr>
      <w:r>
        <w:rPr>
          <w:rFonts w:ascii="仿宋_GB2312"/>
          <w:color w:val="auto"/>
          <w:sz w:val="24"/>
        </w:rPr>
        <w:t>4.2</w:t>
      </w:r>
      <w:r>
        <w:rPr>
          <w:rFonts w:hint="eastAsia" w:ascii="仿宋_GB2312"/>
          <w:color w:val="auto"/>
          <w:sz w:val="24"/>
        </w:rPr>
        <w:t>到货验收包括：数量、外观质量、随机备件备品、装箱单、随机资料</w:t>
      </w:r>
      <w:r>
        <w:rPr>
          <w:rFonts w:ascii="仿宋_GB2312"/>
          <w:color w:val="auto"/>
          <w:sz w:val="24"/>
        </w:rPr>
        <w:t>(</w:t>
      </w:r>
      <w:r>
        <w:rPr>
          <w:rFonts w:hint="eastAsia" w:ascii="仿宋_GB2312"/>
          <w:color w:val="auto"/>
          <w:sz w:val="24"/>
        </w:rPr>
        <w:t>中文</w:t>
      </w:r>
      <w:r>
        <w:rPr>
          <w:rFonts w:ascii="仿宋_GB2312"/>
          <w:color w:val="auto"/>
          <w:sz w:val="24"/>
        </w:rPr>
        <w:t>)</w:t>
      </w:r>
      <w:r>
        <w:rPr>
          <w:rFonts w:hint="eastAsia" w:ascii="仿宋_GB2312"/>
          <w:color w:val="auto"/>
          <w:sz w:val="24"/>
        </w:rPr>
        <w:t>等及货物包装完整无破损。</w:t>
      </w:r>
    </w:p>
    <w:p>
      <w:pPr>
        <w:spacing w:line="360" w:lineRule="auto"/>
        <w:rPr>
          <w:rFonts w:ascii="仿宋_GB2312"/>
          <w:color w:val="auto"/>
          <w:sz w:val="24"/>
        </w:rPr>
      </w:pPr>
      <w:r>
        <w:rPr>
          <w:rFonts w:ascii="仿宋_GB2312"/>
          <w:color w:val="auto"/>
          <w:sz w:val="24"/>
        </w:rPr>
        <w:t>4.3</w:t>
      </w:r>
      <w:r>
        <w:rPr>
          <w:rFonts w:hint="eastAsia" w:ascii="仿宋_GB2312"/>
          <w:color w:val="auto"/>
          <w:sz w:val="24"/>
        </w:rPr>
        <w:t>每件货物上均应附有产品质量检验合格标志。</w:t>
      </w:r>
    </w:p>
    <w:p>
      <w:pPr>
        <w:spacing w:line="360" w:lineRule="auto"/>
        <w:rPr>
          <w:rFonts w:ascii="仿宋_GB2312"/>
          <w:color w:val="auto"/>
          <w:sz w:val="24"/>
        </w:rPr>
      </w:pPr>
      <w:r>
        <w:rPr>
          <w:rFonts w:ascii="仿宋_GB2312"/>
          <w:color w:val="auto"/>
          <w:sz w:val="24"/>
        </w:rPr>
        <w:t>4.4</w:t>
      </w:r>
      <w:r>
        <w:rPr>
          <w:rFonts w:hint="eastAsia" w:ascii="仿宋_GB2312"/>
          <w:color w:val="auto"/>
          <w:sz w:val="24"/>
        </w:rPr>
        <w:t>货物制造质量出现问题，乙方负责三包（包修、包换、包退），费用由乙方负责。</w:t>
      </w:r>
    </w:p>
    <w:p>
      <w:pPr>
        <w:spacing w:line="360" w:lineRule="auto"/>
        <w:rPr>
          <w:rFonts w:ascii="仿宋_GB2312"/>
          <w:b/>
          <w:color w:val="auto"/>
          <w:sz w:val="24"/>
        </w:rPr>
      </w:pPr>
      <w:r>
        <w:rPr>
          <w:rFonts w:ascii="仿宋_GB2312"/>
          <w:b/>
          <w:color w:val="auto"/>
          <w:sz w:val="24"/>
        </w:rPr>
        <w:t>5.</w:t>
      </w:r>
      <w:r>
        <w:rPr>
          <w:rFonts w:hint="eastAsia" w:ascii="仿宋_GB2312"/>
          <w:b/>
          <w:color w:val="auto"/>
          <w:sz w:val="24"/>
        </w:rPr>
        <w:t>验收与售后服务</w:t>
      </w:r>
    </w:p>
    <w:p>
      <w:pPr>
        <w:spacing w:line="360" w:lineRule="auto"/>
        <w:rPr>
          <w:rFonts w:ascii="仿宋_GB2312"/>
          <w:color w:val="auto"/>
          <w:sz w:val="24"/>
        </w:rPr>
      </w:pPr>
      <w:r>
        <w:rPr>
          <w:rFonts w:ascii="仿宋_GB2312"/>
          <w:color w:val="auto"/>
          <w:sz w:val="24"/>
        </w:rPr>
        <w:t>5.1</w:t>
      </w:r>
      <w:r>
        <w:rPr>
          <w:rFonts w:hint="eastAsia" w:ascii="仿宋_GB2312"/>
          <w:color w:val="auto"/>
          <w:sz w:val="24"/>
        </w:rPr>
        <w:t>验收</w:t>
      </w:r>
    </w:p>
    <w:p>
      <w:pPr>
        <w:spacing w:line="360" w:lineRule="auto"/>
        <w:rPr>
          <w:rFonts w:ascii="仿宋_GB2312"/>
          <w:color w:val="auto"/>
          <w:sz w:val="24"/>
        </w:rPr>
      </w:pPr>
      <w:r>
        <w:rPr>
          <w:rFonts w:ascii="仿宋_GB2312"/>
          <w:color w:val="auto"/>
          <w:sz w:val="24"/>
        </w:rPr>
        <w:t>5.1.1</w:t>
      </w:r>
      <w:r>
        <w:rPr>
          <w:rFonts w:hint="eastAsia" w:ascii="仿宋_GB2312"/>
          <w:color w:val="auto"/>
          <w:sz w:val="24"/>
        </w:rPr>
        <w:t>甲方指定专人负责货物的初检工作。</w:t>
      </w:r>
    </w:p>
    <w:p>
      <w:pPr>
        <w:spacing w:line="360" w:lineRule="auto"/>
        <w:rPr>
          <w:rFonts w:ascii="仿宋_GB2312"/>
          <w:color w:val="auto"/>
          <w:sz w:val="24"/>
        </w:rPr>
      </w:pPr>
      <w:r>
        <w:rPr>
          <w:rFonts w:ascii="仿宋_GB2312"/>
          <w:color w:val="auto"/>
          <w:sz w:val="24"/>
        </w:rPr>
        <w:t>5.1.2</w:t>
      </w:r>
      <w:r>
        <w:rPr>
          <w:rFonts w:hint="eastAsia" w:ascii="仿宋_GB2312"/>
          <w:color w:val="auto"/>
          <w:sz w:val="24"/>
        </w:rPr>
        <w:t>甲方在安装、调试过程中随时进行阶段性检查验收。</w:t>
      </w:r>
    </w:p>
    <w:p>
      <w:pPr>
        <w:spacing w:line="360" w:lineRule="auto"/>
        <w:rPr>
          <w:rFonts w:ascii="仿宋_GB2312"/>
          <w:color w:val="auto"/>
          <w:sz w:val="24"/>
        </w:rPr>
      </w:pPr>
      <w:r>
        <w:rPr>
          <w:rFonts w:ascii="仿宋_GB2312"/>
          <w:color w:val="auto"/>
          <w:sz w:val="24"/>
        </w:rPr>
        <w:t>5.1.3</w:t>
      </w:r>
      <w:r>
        <w:rPr>
          <w:rFonts w:hint="eastAsia" w:ascii="仿宋_GB2312"/>
          <w:color w:val="auto"/>
          <w:sz w:val="24"/>
        </w:rPr>
        <w:t>甲方组织专人进行验收。</w:t>
      </w:r>
    </w:p>
    <w:p>
      <w:pPr>
        <w:spacing w:line="360" w:lineRule="auto"/>
        <w:rPr>
          <w:rFonts w:ascii="仿宋_GB2312"/>
          <w:color w:val="auto"/>
          <w:sz w:val="24"/>
        </w:rPr>
      </w:pPr>
      <w:r>
        <w:rPr>
          <w:rFonts w:ascii="仿宋_GB2312"/>
          <w:color w:val="auto"/>
          <w:sz w:val="24"/>
        </w:rPr>
        <w:t>5.2</w:t>
      </w:r>
      <w:r>
        <w:rPr>
          <w:rFonts w:hint="eastAsia" w:ascii="仿宋_GB2312"/>
          <w:color w:val="auto"/>
          <w:sz w:val="24"/>
        </w:rPr>
        <w:t>售后服务</w:t>
      </w:r>
    </w:p>
    <w:p>
      <w:pPr>
        <w:spacing w:line="360" w:lineRule="auto"/>
        <w:rPr>
          <w:rFonts w:ascii="仿宋_GB2312"/>
          <w:color w:val="auto"/>
          <w:sz w:val="24"/>
        </w:rPr>
      </w:pPr>
      <w:r>
        <w:rPr>
          <w:rFonts w:ascii="仿宋_GB2312"/>
          <w:color w:val="auto"/>
          <w:sz w:val="24"/>
        </w:rPr>
        <w:t>5.2.1</w:t>
      </w:r>
      <w:r>
        <w:rPr>
          <w:rFonts w:hint="eastAsia" w:ascii="仿宋_GB2312"/>
          <w:color w:val="auto"/>
          <w:sz w:val="24"/>
        </w:rPr>
        <w:t>质量保证期：</w:t>
      </w:r>
      <w:r>
        <w:rPr>
          <w:rFonts w:ascii="仿宋_GB2312"/>
          <w:color w:val="auto"/>
          <w:sz w:val="24"/>
          <w:u w:val="single"/>
        </w:rPr>
        <w:t xml:space="preserve"> </w:t>
      </w:r>
      <w:r>
        <w:rPr>
          <w:rFonts w:hint="eastAsia" w:ascii="仿宋_GB2312"/>
          <w:color w:val="auto"/>
          <w:sz w:val="24"/>
          <w:u w:val="single"/>
          <w:lang w:val="en-US" w:eastAsia="zh-CN"/>
        </w:rPr>
        <w:t xml:space="preserve">  </w:t>
      </w:r>
      <w:r>
        <w:rPr>
          <w:rFonts w:ascii="仿宋_GB2312"/>
          <w:color w:val="auto"/>
          <w:sz w:val="24"/>
          <w:u w:val="single"/>
        </w:rPr>
        <w:t xml:space="preserve">  </w:t>
      </w:r>
      <w:r>
        <w:rPr>
          <w:rFonts w:hint="eastAsia" w:ascii="仿宋_GB2312"/>
          <w:color w:val="auto"/>
          <w:sz w:val="24"/>
        </w:rPr>
        <w:t>年。</w:t>
      </w:r>
    </w:p>
    <w:p>
      <w:pPr>
        <w:spacing w:line="360" w:lineRule="auto"/>
        <w:rPr>
          <w:rFonts w:ascii="仿宋_GB2312"/>
          <w:color w:val="auto"/>
          <w:sz w:val="24"/>
        </w:rPr>
      </w:pPr>
      <w:r>
        <w:rPr>
          <w:rFonts w:ascii="仿宋_GB2312"/>
          <w:color w:val="auto"/>
          <w:sz w:val="24"/>
        </w:rPr>
        <w:t>5.2.2</w:t>
      </w:r>
      <w:r>
        <w:rPr>
          <w:rFonts w:hint="eastAsia" w:ascii="仿宋_GB2312"/>
          <w:color w:val="auto"/>
          <w:sz w:val="24"/>
          <w:lang w:eastAsia="zh-CN"/>
        </w:rPr>
        <w:t>保质期</w:t>
      </w:r>
      <w:r>
        <w:rPr>
          <w:rFonts w:hint="eastAsia" w:ascii="仿宋_GB2312"/>
          <w:color w:val="auto"/>
          <w:sz w:val="24"/>
        </w:rPr>
        <w:t>内，因质量问题所致的一切损失由乙方全部承担。</w:t>
      </w:r>
    </w:p>
    <w:p>
      <w:pPr>
        <w:spacing w:line="360" w:lineRule="auto"/>
        <w:rPr>
          <w:rFonts w:ascii="仿宋_GB2312"/>
          <w:b/>
          <w:color w:val="auto"/>
          <w:sz w:val="24"/>
        </w:rPr>
      </w:pPr>
      <w:r>
        <w:rPr>
          <w:rFonts w:ascii="仿宋_GB2312"/>
          <w:b/>
          <w:color w:val="auto"/>
          <w:sz w:val="24"/>
        </w:rPr>
        <w:t>6</w:t>
      </w:r>
      <w:r>
        <w:rPr>
          <w:rFonts w:hint="eastAsia" w:ascii="仿宋_GB2312"/>
          <w:b/>
          <w:color w:val="auto"/>
          <w:sz w:val="24"/>
        </w:rPr>
        <w:t>．</w:t>
      </w:r>
      <w:r>
        <w:rPr>
          <w:rFonts w:hint="eastAsia" w:ascii="仿宋_GB2312"/>
          <w:b/>
          <w:color w:val="auto"/>
          <w:sz w:val="24"/>
          <w:lang w:eastAsia="zh-CN"/>
        </w:rPr>
        <w:t>合同</w:t>
      </w:r>
      <w:r>
        <w:rPr>
          <w:rFonts w:hint="eastAsia" w:ascii="仿宋_GB2312"/>
          <w:b/>
          <w:color w:val="auto"/>
          <w:sz w:val="24"/>
        </w:rPr>
        <w:t>延误</w:t>
      </w:r>
    </w:p>
    <w:p>
      <w:pPr>
        <w:spacing w:line="360" w:lineRule="auto"/>
        <w:rPr>
          <w:rFonts w:ascii="仿宋_GB2312"/>
          <w:color w:val="auto"/>
          <w:sz w:val="24"/>
        </w:rPr>
      </w:pPr>
      <w:r>
        <w:rPr>
          <w:rFonts w:ascii="仿宋_GB2312"/>
          <w:color w:val="auto"/>
          <w:sz w:val="24"/>
        </w:rPr>
        <w:t>6.1</w:t>
      </w:r>
      <w:r>
        <w:rPr>
          <w:rFonts w:hint="eastAsia" w:ascii="仿宋_GB2312"/>
          <w:color w:val="auto"/>
          <w:sz w:val="24"/>
        </w:rPr>
        <w:t>乙方应按合同约定的时间完成所有</w:t>
      </w:r>
      <w:r>
        <w:rPr>
          <w:rFonts w:hint="eastAsia" w:ascii="仿宋_GB2312"/>
          <w:color w:val="auto"/>
          <w:sz w:val="24"/>
          <w:lang w:eastAsia="zh-CN"/>
        </w:rPr>
        <w:t>货物供给</w:t>
      </w:r>
      <w:r>
        <w:rPr>
          <w:rFonts w:hint="eastAsia" w:ascii="仿宋_GB2312"/>
          <w:color w:val="auto"/>
          <w:sz w:val="24"/>
        </w:rPr>
        <w:t>，否则根据延期时间，每延误一日扣除合同价款的</w:t>
      </w:r>
      <w:r>
        <w:rPr>
          <w:rFonts w:ascii="仿宋_GB2312"/>
          <w:color w:val="auto"/>
          <w:sz w:val="24"/>
          <w:u w:val="single"/>
        </w:rPr>
        <w:t>5%</w:t>
      </w:r>
      <w:r>
        <w:rPr>
          <w:rFonts w:hint="eastAsia" w:ascii="仿宋_GB2312"/>
          <w:color w:val="auto"/>
          <w:sz w:val="24"/>
        </w:rPr>
        <w:t>作为违约金。</w:t>
      </w:r>
    </w:p>
    <w:p>
      <w:pPr>
        <w:spacing w:line="360" w:lineRule="auto"/>
        <w:rPr>
          <w:rFonts w:ascii="仿宋_GB2312"/>
          <w:color w:val="auto"/>
          <w:sz w:val="24"/>
        </w:rPr>
      </w:pPr>
      <w:r>
        <w:rPr>
          <w:rFonts w:ascii="仿宋_GB2312"/>
          <w:color w:val="auto"/>
          <w:sz w:val="24"/>
        </w:rPr>
        <w:t>6.2</w:t>
      </w:r>
      <w:r>
        <w:rPr>
          <w:rFonts w:hint="eastAsia" w:ascii="仿宋_GB2312"/>
          <w:color w:val="auto"/>
          <w:sz w:val="24"/>
        </w:rPr>
        <w:t>由于以下原因造成推迟</w:t>
      </w:r>
      <w:r>
        <w:rPr>
          <w:rFonts w:hint="eastAsia" w:ascii="仿宋_GB2312"/>
          <w:color w:val="auto"/>
          <w:sz w:val="24"/>
          <w:lang w:eastAsia="zh-CN"/>
        </w:rPr>
        <w:t>的</w:t>
      </w:r>
      <w:r>
        <w:rPr>
          <w:rFonts w:hint="eastAsia" w:ascii="仿宋_GB2312"/>
          <w:color w:val="auto"/>
          <w:sz w:val="24"/>
        </w:rPr>
        <w:t>，相应顺延。</w:t>
      </w:r>
    </w:p>
    <w:p>
      <w:pPr>
        <w:spacing w:line="360" w:lineRule="auto"/>
        <w:rPr>
          <w:rFonts w:ascii="仿宋_GB2312"/>
          <w:color w:val="auto"/>
          <w:sz w:val="24"/>
        </w:rPr>
      </w:pPr>
      <w:r>
        <w:rPr>
          <w:rFonts w:ascii="仿宋_GB2312"/>
          <w:color w:val="auto"/>
          <w:sz w:val="24"/>
        </w:rPr>
        <w:t>6.2.1</w:t>
      </w:r>
      <w:r>
        <w:rPr>
          <w:rFonts w:hint="eastAsia" w:ascii="仿宋_GB2312"/>
          <w:color w:val="auto"/>
          <w:sz w:val="24"/>
        </w:rPr>
        <w:t>不可抗力或自然灾害</w:t>
      </w:r>
    </w:p>
    <w:p>
      <w:pPr>
        <w:spacing w:line="360" w:lineRule="auto"/>
        <w:rPr>
          <w:rFonts w:ascii="仿宋_GB2312"/>
          <w:color w:val="auto"/>
          <w:sz w:val="24"/>
        </w:rPr>
      </w:pPr>
      <w:r>
        <w:rPr>
          <w:rFonts w:ascii="仿宋_GB2312"/>
          <w:color w:val="auto"/>
          <w:sz w:val="24"/>
        </w:rPr>
        <w:t>6.2.2</w:t>
      </w:r>
      <w:r>
        <w:rPr>
          <w:rFonts w:hint="eastAsia" w:ascii="仿宋_GB2312"/>
          <w:color w:val="auto"/>
          <w:sz w:val="24"/>
        </w:rPr>
        <w:t>工程量增加</w:t>
      </w:r>
    </w:p>
    <w:p>
      <w:pPr>
        <w:spacing w:line="360" w:lineRule="auto"/>
        <w:rPr>
          <w:rFonts w:ascii="仿宋_GB2312"/>
          <w:color w:val="auto"/>
          <w:sz w:val="24"/>
        </w:rPr>
      </w:pPr>
      <w:r>
        <w:rPr>
          <w:rFonts w:ascii="仿宋_GB2312"/>
          <w:color w:val="auto"/>
          <w:sz w:val="24"/>
        </w:rPr>
        <w:t>6.2.3</w:t>
      </w:r>
      <w:r>
        <w:rPr>
          <w:rFonts w:hint="eastAsia" w:ascii="仿宋_GB2312"/>
          <w:color w:val="auto"/>
          <w:sz w:val="24"/>
        </w:rPr>
        <w:t>甲方同意工期相应顺延的其他情况</w:t>
      </w:r>
    </w:p>
    <w:p>
      <w:pPr>
        <w:spacing w:line="360" w:lineRule="auto"/>
        <w:rPr>
          <w:rFonts w:ascii="仿宋_GB2312"/>
          <w:b/>
          <w:color w:val="auto"/>
          <w:sz w:val="24"/>
        </w:rPr>
      </w:pPr>
      <w:r>
        <w:rPr>
          <w:rFonts w:hint="eastAsia" w:ascii="仿宋_GB2312"/>
          <w:b/>
          <w:color w:val="auto"/>
          <w:sz w:val="24"/>
          <w:lang w:val="en-US" w:eastAsia="zh-CN"/>
        </w:rPr>
        <w:t>7</w:t>
      </w:r>
      <w:r>
        <w:rPr>
          <w:rFonts w:ascii="仿宋_GB2312"/>
          <w:b/>
          <w:color w:val="auto"/>
          <w:sz w:val="24"/>
        </w:rPr>
        <w:t>.</w:t>
      </w:r>
      <w:r>
        <w:rPr>
          <w:rFonts w:hint="eastAsia" w:ascii="仿宋_GB2312"/>
          <w:b/>
          <w:color w:val="auto"/>
          <w:sz w:val="24"/>
        </w:rPr>
        <w:t>双方权利和义务</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.1</w:t>
      </w:r>
      <w:r>
        <w:rPr>
          <w:rFonts w:hint="eastAsia" w:ascii="仿宋_GB2312"/>
          <w:b/>
          <w:bCs/>
          <w:color w:val="auto"/>
          <w:sz w:val="24"/>
        </w:rPr>
        <w:t>甲方权利和义务</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.1.1</w:t>
      </w:r>
      <w:r>
        <w:rPr>
          <w:rFonts w:hint="eastAsia" w:ascii="仿宋_GB2312"/>
          <w:color w:val="auto"/>
          <w:sz w:val="24"/>
        </w:rPr>
        <w:t>根据甲方项目要求及乙方投标文件中的承诺，对乙方提供的</w:t>
      </w:r>
      <w:r>
        <w:rPr>
          <w:rFonts w:hint="eastAsia" w:ascii="仿宋_GB2312"/>
          <w:color w:val="auto"/>
          <w:sz w:val="24"/>
          <w:lang w:eastAsia="zh-CN"/>
        </w:rPr>
        <w:t>货物</w:t>
      </w:r>
      <w:r>
        <w:rPr>
          <w:rFonts w:hint="eastAsia" w:ascii="仿宋_GB2312"/>
          <w:color w:val="auto"/>
          <w:sz w:val="24"/>
        </w:rPr>
        <w:t>及履行本合同情况进行验收。</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.1.2</w:t>
      </w:r>
      <w:r>
        <w:rPr>
          <w:rFonts w:hint="eastAsia" w:ascii="仿宋_GB2312"/>
          <w:color w:val="auto"/>
          <w:sz w:val="24"/>
        </w:rPr>
        <w:t>监督检查乙方项目进度及质量，对发现的问题提出具体整改意见。</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.2</w:t>
      </w:r>
      <w:r>
        <w:rPr>
          <w:rFonts w:hint="eastAsia" w:ascii="仿宋_GB2312"/>
          <w:b/>
          <w:bCs/>
          <w:color w:val="auto"/>
          <w:sz w:val="24"/>
        </w:rPr>
        <w:t>乙方权利和义务</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.2.1</w:t>
      </w:r>
      <w:r>
        <w:rPr>
          <w:rFonts w:hint="eastAsia" w:ascii="仿宋_GB2312"/>
          <w:color w:val="auto"/>
          <w:sz w:val="24"/>
        </w:rPr>
        <w:t>乙方必须根据招标文件、投标文件及甲方具体要求按照质量标准，在规定时间内供货，保证项目达到甲方的</w:t>
      </w:r>
      <w:r>
        <w:rPr>
          <w:rFonts w:hint="eastAsia" w:ascii="仿宋_GB2312"/>
          <w:color w:val="auto"/>
          <w:sz w:val="24"/>
          <w:lang w:eastAsia="zh-CN"/>
        </w:rPr>
        <w:t>使用</w:t>
      </w:r>
      <w:r>
        <w:rPr>
          <w:rFonts w:hint="eastAsia" w:ascii="仿宋_GB2312"/>
          <w:color w:val="auto"/>
          <w:sz w:val="24"/>
        </w:rPr>
        <w:t>要求。</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.2.2</w:t>
      </w:r>
      <w:r>
        <w:rPr>
          <w:rFonts w:hint="eastAsia" w:ascii="仿宋_GB2312"/>
          <w:color w:val="auto"/>
          <w:sz w:val="24"/>
        </w:rPr>
        <w:t>服从甲方指挥和管理，否则甲方有权随时解除与乙方的合同。</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.2.3</w:t>
      </w:r>
      <w:r>
        <w:rPr>
          <w:rFonts w:hint="eastAsia" w:ascii="仿宋_GB2312"/>
          <w:bCs/>
          <w:color w:val="auto"/>
          <w:sz w:val="24"/>
        </w:rPr>
        <w:t>必须遵守安全生产有关规定，严格按照安全生产和甲方要求组织施工，落实安全防护措施，消除安全隐患。如因未落实有关安全措施导致各类安全事故发生，乙方负责并承担由此造成的一切损失。</w:t>
      </w:r>
    </w:p>
    <w:p>
      <w:pPr>
        <w:spacing w:line="360" w:lineRule="auto"/>
        <w:rPr>
          <w:rFonts w:ascii="仿宋_GB2312"/>
          <w:b/>
          <w:color w:val="auto"/>
          <w:sz w:val="24"/>
        </w:rPr>
      </w:pPr>
      <w:r>
        <w:rPr>
          <w:rFonts w:ascii="仿宋_GB2312"/>
          <w:b/>
          <w:color w:val="auto"/>
          <w:sz w:val="24"/>
        </w:rPr>
        <w:t>9.</w:t>
      </w:r>
      <w:r>
        <w:rPr>
          <w:rFonts w:hint="eastAsia" w:ascii="仿宋_GB2312"/>
          <w:b/>
          <w:color w:val="auto"/>
          <w:sz w:val="24"/>
        </w:rPr>
        <w:t>违约责任</w:t>
      </w:r>
    </w:p>
    <w:p>
      <w:pPr>
        <w:spacing w:line="360" w:lineRule="auto"/>
        <w:rPr>
          <w:rFonts w:ascii="仿宋_GB2312"/>
          <w:color w:val="auto"/>
          <w:sz w:val="24"/>
        </w:rPr>
      </w:pPr>
      <w:r>
        <w:rPr>
          <w:rFonts w:ascii="仿宋_GB2312"/>
          <w:color w:val="auto"/>
          <w:sz w:val="24"/>
        </w:rPr>
        <w:t>9.1</w:t>
      </w:r>
      <w:r>
        <w:rPr>
          <w:rFonts w:hint="eastAsia" w:ascii="仿宋_GB2312"/>
          <w:color w:val="auto"/>
          <w:sz w:val="24"/>
        </w:rPr>
        <w:t>甲方无正当理由拒收货物，甲方向乙方偿付合同价款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color w:val="auto"/>
          <w:sz w:val="24"/>
        </w:rPr>
      </w:pPr>
      <w:r>
        <w:rPr>
          <w:rFonts w:ascii="仿宋_GB2312"/>
          <w:color w:val="auto"/>
          <w:sz w:val="24"/>
        </w:rPr>
        <w:t>9.2</w:t>
      </w:r>
      <w:r>
        <w:rPr>
          <w:rFonts w:hint="eastAsia" w:ascii="仿宋_GB2312"/>
          <w:color w:val="auto"/>
          <w:sz w:val="24"/>
        </w:rPr>
        <w:t>乙方提供的货物品种、型号、规格不符合合同规定的，甲方有权拒收货物并终止合同，乙方向甲方支付合同价款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color w:val="auto"/>
          <w:sz w:val="24"/>
        </w:rPr>
      </w:pPr>
      <w:r>
        <w:rPr>
          <w:rFonts w:ascii="仿宋_GB2312"/>
          <w:color w:val="auto"/>
          <w:sz w:val="24"/>
        </w:rPr>
        <w:t>9.3</w:t>
      </w:r>
      <w:r>
        <w:rPr>
          <w:rFonts w:hint="eastAsia" w:ascii="仿宋_GB2312"/>
          <w:color w:val="auto"/>
          <w:sz w:val="24"/>
        </w:rPr>
        <w:t>乙方不能在规定时间内完成项目的</w:t>
      </w:r>
      <w:r>
        <w:rPr>
          <w:rFonts w:hint="eastAsia" w:ascii="仿宋_GB2312"/>
          <w:color w:val="auto"/>
          <w:sz w:val="24"/>
          <w:lang w:eastAsia="zh-CN"/>
        </w:rPr>
        <w:t>供给</w:t>
      </w:r>
      <w:r>
        <w:rPr>
          <w:rFonts w:hint="eastAsia" w:ascii="仿宋_GB2312"/>
          <w:color w:val="auto"/>
          <w:sz w:val="24"/>
        </w:rPr>
        <w:t>，从逾期之日起每天按本合同价款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的数额向甲方支付违约金；逾期</w:t>
      </w:r>
      <w:r>
        <w:rPr>
          <w:rFonts w:ascii="仿宋_GB2312"/>
          <w:color w:val="auto"/>
          <w:sz w:val="24"/>
        </w:rPr>
        <w:t>7</w:t>
      </w:r>
      <w:r>
        <w:rPr>
          <w:rFonts w:hint="eastAsia" w:ascii="仿宋_GB2312"/>
          <w:color w:val="auto"/>
          <w:sz w:val="24"/>
        </w:rPr>
        <w:t>天以上的，甲方有权终止合同，由此造成的甲方损失由乙方承担。</w:t>
      </w:r>
    </w:p>
    <w:p>
      <w:pPr>
        <w:spacing w:line="360" w:lineRule="auto"/>
        <w:rPr>
          <w:rFonts w:ascii="仿宋_GB2312"/>
          <w:color w:val="auto"/>
          <w:sz w:val="24"/>
        </w:rPr>
      </w:pPr>
      <w:r>
        <w:rPr>
          <w:rFonts w:ascii="仿宋_GB2312"/>
          <w:color w:val="auto"/>
          <w:sz w:val="24"/>
        </w:rPr>
        <w:t>9.4</w:t>
      </w:r>
      <w:r>
        <w:rPr>
          <w:rFonts w:hint="eastAsia" w:ascii="仿宋_GB2312"/>
          <w:color w:val="auto"/>
          <w:sz w:val="24"/>
        </w:rPr>
        <w:t>未经甲方同意，乙方不得私自将该项目转包第三方完成。否则，乙方向甲方支付合同价款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b/>
          <w:bCs/>
          <w:color w:val="auto"/>
          <w:sz w:val="24"/>
        </w:rPr>
      </w:pPr>
      <w:bookmarkStart w:id="13" w:name="_Toc13543221"/>
      <w:r>
        <w:rPr>
          <w:rFonts w:ascii="仿宋_GB2312"/>
          <w:b/>
          <w:bCs/>
          <w:color w:val="auto"/>
          <w:sz w:val="24"/>
        </w:rPr>
        <w:t>10.</w:t>
      </w:r>
      <w:r>
        <w:rPr>
          <w:rFonts w:hint="eastAsia" w:ascii="仿宋_GB2312"/>
          <w:b/>
          <w:bCs/>
          <w:color w:val="auto"/>
          <w:sz w:val="24"/>
        </w:rPr>
        <w:t>合同解除</w:t>
      </w:r>
      <w:bookmarkEnd w:id="13"/>
    </w:p>
    <w:p>
      <w:pPr>
        <w:spacing w:line="360" w:lineRule="auto"/>
        <w:rPr>
          <w:rFonts w:hint="eastAsia" w:ascii="仿宋_GB2312"/>
          <w:color w:val="auto"/>
          <w:sz w:val="24"/>
        </w:rPr>
      </w:pPr>
      <w:r>
        <w:rPr>
          <w:rFonts w:ascii="仿宋_GB2312"/>
          <w:bCs/>
          <w:color w:val="auto"/>
          <w:sz w:val="24"/>
        </w:rPr>
        <w:t>10.</w:t>
      </w:r>
      <w:r>
        <w:rPr>
          <w:rFonts w:ascii="仿宋_GB2312"/>
          <w:color w:val="auto"/>
          <w:sz w:val="24"/>
        </w:rPr>
        <w:t>1</w:t>
      </w:r>
      <w:r>
        <w:rPr>
          <w:rFonts w:hint="eastAsia" w:ascii="仿宋_GB2312" w:hAnsi="仿宋_GB2312" w:cs="仿宋_GB2312"/>
          <w:color w:val="auto"/>
          <w:sz w:val="24"/>
        </w:rPr>
        <w:t>符合以上规定的可以解除合同情形的</w:t>
      </w:r>
      <w:r>
        <w:rPr>
          <w:rFonts w:hint="eastAsia" w:ascii="仿宋_GB2312"/>
          <w:color w:val="auto"/>
          <w:sz w:val="24"/>
        </w:rPr>
        <w:t>，可以解除合同。</w:t>
      </w:r>
    </w:p>
    <w:p>
      <w:pPr>
        <w:spacing w:line="360" w:lineRule="auto"/>
        <w:rPr>
          <w:rFonts w:ascii="仿宋_GB2312"/>
          <w:color w:val="auto"/>
          <w:sz w:val="24"/>
        </w:rPr>
      </w:pPr>
      <w:r>
        <w:rPr>
          <w:rFonts w:ascii="仿宋_GB2312"/>
          <w:bCs/>
          <w:color w:val="auto"/>
          <w:sz w:val="24"/>
        </w:rPr>
        <w:t>10.</w:t>
      </w:r>
      <w:r>
        <w:rPr>
          <w:rFonts w:ascii="仿宋_GB2312"/>
          <w:color w:val="auto"/>
          <w:sz w:val="24"/>
        </w:rPr>
        <w:t>2</w:t>
      </w:r>
      <w:r>
        <w:rPr>
          <w:rFonts w:hint="eastAsia" w:ascii="仿宋_GB2312"/>
          <w:color w:val="auto"/>
          <w:sz w:val="24"/>
        </w:rPr>
        <w:t>因乙方技术能力问题，导致项目要求无法实现的，甲方有权解除合同；解除合同后乙方支付违约金</w:t>
      </w:r>
      <w:r>
        <w:rPr>
          <w:rFonts w:hint="eastAsia" w:ascii="仿宋_GB2312"/>
          <w:color w:val="auto"/>
          <w:sz w:val="24"/>
          <w:u w:val="single"/>
          <w:lang w:val="en-US" w:eastAsia="zh-CN"/>
        </w:rPr>
        <w:t xml:space="preserve">   </w:t>
      </w:r>
      <w:r>
        <w:rPr>
          <w:rFonts w:hint="eastAsia" w:ascii="仿宋_GB2312"/>
          <w:color w:val="auto"/>
          <w:sz w:val="24"/>
        </w:rPr>
        <w:t>万元。</w:t>
      </w:r>
    </w:p>
    <w:p>
      <w:pPr>
        <w:spacing w:line="360" w:lineRule="auto"/>
        <w:rPr>
          <w:rFonts w:ascii="仿宋_GB2312"/>
          <w:b/>
          <w:bCs/>
          <w:color w:val="auto"/>
          <w:sz w:val="24"/>
        </w:rPr>
      </w:pPr>
      <w:bookmarkStart w:id="14" w:name="_Toc13543223"/>
      <w:r>
        <w:rPr>
          <w:rFonts w:ascii="仿宋_GB2312"/>
          <w:b/>
          <w:bCs/>
          <w:color w:val="auto"/>
          <w:sz w:val="24"/>
        </w:rPr>
        <w:t>11.</w:t>
      </w:r>
      <w:r>
        <w:rPr>
          <w:rFonts w:hint="eastAsia" w:ascii="仿宋_GB2312"/>
          <w:b/>
          <w:bCs/>
          <w:color w:val="auto"/>
          <w:sz w:val="24"/>
        </w:rPr>
        <w:t>争议解决</w:t>
      </w:r>
      <w:bookmarkEnd w:id="14"/>
    </w:p>
    <w:p>
      <w:pPr>
        <w:spacing w:line="360" w:lineRule="auto"/>
        <w:ind w:firstLine="360" w:firstLineChars="150"/>
        <w:rPr>
          <w:rFonts w:ascii="仿宋_GB2312"/>
          <w:color w:val="auto"/>
          <w:sz w:val="24"/>
        </w:rPr>
      </w:pPr>
      <w:r>
        <w:rPr>
          <w:rFonts w:hint="eastAsia" w:ascii="仿宋_GB2312"/>
          <w:color w:val="auto"/>
          <w:sz w:val="24"/>
        </w:rPr>
        <w:t>因本合同引起的争议，甲乙双方应首先通过友好协商解决。协商不成，任何一方可以向甲方所在地人民法院起诉。</w:t>
      </w:r>
    </w:p>
    <w:p>
      <w:pPr>
        <w:spacing w:line="360" w:lineRule="auto"/>
        <w:rPr>
          <w:rFonts w:ascii="仿宋_GB2312"/>
          <w:b/>
          <w:color w:val="auto"/>
          <w:sz w:val="24"/>
        </w:rPr>
      </w:pPr>
      <w:r>
        <w:rPr>
          <w:rFonts w:ascii="仿宋_GB2312"/>
          <w:b/>
          <w:color w:val="auto"/>
          <w:sz w:val="24"/>
        </w:rPr>
        <w:t>12.</w:t>
      </w:r>
      <w:r>
        <w:rPr>
          <w:rFonts w:hint="eastAsia" w:ascii="仿宋_GB2312"/>
          <w:b/>
          <w:color w:val="auto"/>
          <w:sz w:val="24"/>
        </w:rPr>
        <w:t>合同生效及其它</w:t>
      </w:r>
    </w:p>
    <w:p>
      <w:pPr>
        <w:spacing w:line="360" w:lineRule="auto"/>
        <w:rPr>
          <w:rFonts w:ascii="仿宋_GB2312"/>
          <w:color w:val="auto"/>
          <w:sz w:val="24"/>
        </w:rPr>
      </w:pPr>
      <w:r>
        <w:rPr>
          <w:rFonts w:ascii="仿宋_GB2312"/>
          <w:color w:val="auto"/>
          <w:sz w:val="24"/>
        </w:rPr>
        <w:t>12.1</w:t>
      </w:r>
      <w:r>
        <w:rPr>
          <w:rFonts w:hint="eastAsia" w:ascii="仿宋_GB2312"/>
          <w:color w:val="auto"/>
          <w:sz w:val="24"/>
        </w:rPr>
        <w:t>本合同自甲乙双方签字盖章之日起生效。</w:t>
      </w:r>
    </w:p>
    <w:p>
      <w:pPr>
        <w:spacing w:line="360" w:lineRule="auto"/>
        <w:rPr>
          <w:rFonts w:ascii="仿宋_GB2312"/>
          <w:color w:val="auto"/>
          <w:sz w:val="24"/>
        </w:rPr>
      </w:pPr>
      <w:r>
        <w:rPr>
          <w:rFonts w:ascii="仿宋_GB2312"/>
          <w:color w:val="auto"/>
          <w:sz w:val="24"/>
        </w:rPr>
        <w:t>12.2</w:t>
      </w:r>
      <w:r>
        <w:rPr>
          <w:rFonts w:hint="eastAsia" w:ascii="仿宋_GB2312"/>
          <w:color w:val="auto"/>
          <w:sz w:val="24"/>
        </w:rPr>
        <w:t>本合同由甲乙双方法定代表人或授权委托人签字盖章。</w:t>
      </w:r>
    </w:p>
    <w:p>
      <w:pPr>
        <w:spacing w:line="360" w:lineRule="auto"/>
        <w:rPr>
          <w:rFonts w:ascii="仿宋_GB2312"/>
          <w:color w:val="auto"/>
          <w:sz w:val="24"/>
        </w:rPr>
      </w:pPr>
      <w:r>
        <w:rPr>
          <w:rFonts w:ascii="仿宋_GB2312"/>
          <w:color w:val="auto"/>
          <w:sz w:val="24"/>
        </w:rPr>
        <w:t>12.3</w:t>
      </w:r>
      <w:r>
        <w:rPr>
          <w:rFonts w:hint="eastAsia" w:ascii="仿宋_GB2312"/>
          <w:color w:val="auto"/>
          <w:sz w:val="24"/>
        </w:rPr>
        <w:t>本合同所有附件及采购文件均为合同的有效组成部分，与本合同具有同等法律效力。</w:t>
      </w:r>
    </w:p>
    <w:p>
      <w:pPr>
        <w:spacing w:line="360" w:lineRule="auto"/>
        <w:rPr>
          <w:rFonts w:ascii="仿宋_GB2312"/>
          <w:color w:val="auto"/>
          <w:sz w:val="24"/>
        </w:rPr>
      </w:pPr>
      <w:r>
        <w:rPr>
          <w:rFonts w:ascii="仿宋_GB2312"/>
          <w:color w:val="auto"/>
          <w:sz w:val="24"/>
        </w:rPr>
        <w:t>12.4</w:t>
      </w:r>
      <w:r>
        <w:rPr>
          <w:rFonts w:hint="eastAsia" w:ascii="仿宋_GB2312"/>
          <w:color w:val="auto"/>
          <w:sz w:val="24"/>
        </w:rPr>
        <w:t>在执行本合同过程中，所有经双方签署确认的文件（包括会议纪要、补充协议）也成为本合同的有效组成部分。</w:t>
      </w:r>
    </w:p>
    <w:p>
      <w:pPr>
        <w:spacing w:line="360" w:lineRule="auto"/>
        <w:rPr>
          <w:rFonts w:ascii="仿宋_GB2312"/>
          <w:b/>
          <w:bCs/>
          <w:color w:val="auto"/>
          <w:sz w:val="24"/>
        </w:rPr>
      </w:pPr>
      <w:r>
        <w:rPr>
          <w:rFonts w:ascii="仿宋_GB2312"/>
          <w:b/>
          <w:bCs/>
          <w:color w:val="auto"/>
          <w:sz w:val="24"/>
        </w:rPr>
        <w:t>12.5</w:t>
      </w:r>
      <w:r>
        <w:rPr>
          <w:rFonts w:hint="eastAsia" w:ascii="仿宋_GB2312"/>
          <w:b/>
          <w:bCs/>
          <w:color w:val="auto"/>
          <w:sz w:val="24"/>
        </w:rPr>
        <w:t>本合同一式六份，甲乙双方各执三份。</w:t>
      </w:r>
    </w:p>
    <w:p>
      <w:pPr>
        <w:pStyle w:val="3"/>
        <w:keepNext w:val="0"/>
        <w:keepLines w:val="0"/>
        <w:pageBreakBefore w:val="0"/>
        <w:widowControl w:val="0"/>
        <w:kinsoku/>
        <w:wordWrap/>
        <w:overflowPunct/>
        <w:topLinePunct w:val="0"/>
        <w:autoSpaceDE/>
        <w:autoSpaceDN/>
        <w:bidi w:val="0"/>
        <w:adjustRightInd/>
        <w:snapToGrid/>
        <w:textAlignment w:val="auto"/>
        <w:outlineLvl w:val="9"/>
        <w:rPr>
          <w:color w:val="auto"/>
          <w:sz w:val="24"/>
        </w:rPr>
      </w:pPr>
    </w:p>
    <w:p>
      <w:pPr>
        <w:spacing w:line="360" w:lineRule="auto"/>
        <w:rPr>
          <w:color w:val="auto"/>
          <w:sz w:val="16"/>
          <w:szCs w:val="16"/>
          <w:shd w:val="clear" w:color="auto" w:fill="FFFFFF"/>
        </w:rPr>
      </w:pPr>
      <w:r>
        <w:rPr>
          <w:rFonts w:hint="eastAsia"/>
          <w:color w:val="auto"/>
          <w:szCs w:val="21"/>
        </w:rPr>
        <w:t>甲方：</w:t>
      </w:r>
      <w:r>
        <w:rPr>
          <w:color w:val="auto"/>
          <w:szCs w:val="21"/>
        </w:rPr>
        <w:t xml:space="preserve">                          </w:t>
      </w:r>
      <w:r>
        <w:rPr>
          <w:rFonts w:hint="eastAsia"/>
          <w:color w:val="auto"/>
          <w:szCs w:val="21"/>
        </w:rPr>
        <w:t>乙方</w:t>
      </w:r>
      <w:r>
        <w:rPr>
          <w:rFonts w:hint="eastAsia"/>
          <w:color w:val="auto"/>
          <w:sz w:val="24"/>
        </w:rPr>
        <w:t>：</w:t>
      </w:r>
      <w:r>
        <w:rPr>
          <w:color w:val="auto"/>
          <w:szCs w:val="21"/>
        </w:rPr>
        <w:t xml:space="preserve"> </w:t>
      </w:r>
    </w:p>
    <w:p>
      <w:pPr>
        <w:spacing w:line="360" w:lineRule="auto"/>
        <w:rPr>
          <w:color w:val="auto"/>
          <w:szCs w:val="21"/>
        </w:rPr>
      </w:pPr>
      <w:r>
        <w:rPr>
          <w:rFonts w:hint="eastAsia"/>
          <w:color w:val="auto"/>
          <w:szCs w:val="21"/>
        </w:rPr>
        <w:t>地址：</w:t>
      </w:r>
      <w:r>
        <w:rPr>
          <w:color w:val="auto"/>
          <w:szCs w:val="21"/>
        </w:rPr>
        <w:t xml:space="preserve">                          </w:t>
      </w:r>
      <w:r>
        <w:rPr>
          <w:rFonts w:hint="eastAsia"/>
          <w:color w:val="auto"/>
          <w:szCs w:val="21"/>
        </w:rPr>
        <w:t>地址：</w:t>
      </w:r>
      <w:r>
        <w:rPr>
          <w:color w:val="auto"/>
          <w:szCs w:val="21"/>
        </w:rPr>
        <w:t xml:space="preserve"> </w:t>
      </w:r>
    </w:p>
    <w:p>
      <w:pPr>
        <w:spacing w:line="360" w:lineRule="auto"/>
        <w:rPr>
          <w:color w:val="auto"/>
          <w:szCs w:val="21"/>
        </w:rPr>
      </w:pPr>
      <w:r>
        <w:rPr>
          <w:rFonts w:hint="eastAsia"/>
          <w:color w:val="auto"/>
          <w:szCs w:val="21"/>
        </w:rPr>
        <w:t>法人代表：</w:t>
      </w:r>
      <w:r>
        <w:rPr>
          <w:color w:val="auto"/>
          <w:szCs w:val="21"/>
        </w:rPr>
        <w:tab/>
      </w:r>
      <w:r>
        <w:rPr>
          <w:color w:val="auto"/>
          <w:szCs w:val="21"/>
        </w:rPr>
        <w:t xml:space="preserve">                      </w:t>
      </w:r>
      <w:r>
        <w:rPr>
          <w:rFonts w:hint="eastAsia"/>
          <w:color w:val="auto"/>
          <w:szCs w:val="21"/>
        </w:rPr>
        <w:t>法人代表：</w:t>
      </w:r>
    </w:p>
    <w:p>
      <w:pPr>
        <w:spacing w:line="360" w:lineRule="auto"/>
        <w:rPr>
          <w:color w:val="auto"/>
          <w:szCs w:val="21"/>
        </w:rPr>
      </w:pPr>
      <w:r>
        <w:rPr>
          <w:rFonts w:hint="eastAsia"/>
          <w:color w:val="auto"/>
          <w:szCs w:val="21"/>
        </w:rPr>
        <w:t>委托代理人：</w:t>
      </w:r>
      <w:r>
        <w:rPr>
          <w:color w:val="auto"/>
          <w:szCs w:val="21"/>
        </w:rPr>
        <w:tab/>
      </w:r>
      <w:r>
        <w:rPr>
          <w:color w:val="auto"/>
          <w:szCs w:val="21"/>
        </w:rPr>
        <w:tab/>
      </w:r>
      <w:r>
        <w:rPr>
          <w:color w:val="auto"/>
          <w:szCs w:val="21"/>
        </w:rPr>
        <w:tab/>
      </w:r>
      <w:r>
        <w:rPr>
          <w:color w:val="auto"/>
          <w:szCs w:val="21"/>
        </w:rPr>
        <w:tab/>
      </w:r>
      <w:r>
        <w:rPr>
          <w:color w:val="auto"/>
          <w:szCs w:val="21"/>
        </w:rPr>
        <w:t xml:space="preserve">                    </w:t>
      </w:r>
      <w:r>
        <w:rPr>
          <w:rFonts w:hint="eastAsia"/>
          <w:color w:val="auto"/>
          <w:szCs w:val="21"/>
        </w:rPr>
        <w:t>委托代理人：</w:t>
      </w:r>
    </w:p>
    <w:p>
      <w:pPr>
        <w:spacing w:line="360" w:lineRule="auto"/>
        <w:rPr>
          <w:color w:val="auto"/>
          <w:szCs w:val="21"/>
        </w:rPr>
      </w:pPr>
      <w:r>
        <w:rPr>
          <w:rFonts w:hint="eastAsia"/>
          <w:color w:val="auto"/>
          <w:szCs w:val="21"/>
        </w:rPr>
        <w:t>电话：</w:t>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 xml:space="preserve">                          </w:t>
      </w:r>
      <w:r>
        <w:rPr>
          <w:rFonts w:hint="eastAsia"/>
          <w:color w:val="auto"/>
          <w:szCs w:val="21"/>
        </w:rPr>
        <w:t>电话：</w:t>
      </w:r>
      <w:r>
        <w:rPr>
          <w:color w:val="auto"/>
          <w:szCs w:val="21"/>
        </w:rPr>
        <w:t xml:space="preserve"> </w:t>
      </w:r>
    </w:p>
    <w:p>
      <w:pPr>
        <w:spacing w:line="360" w:lineRule="auto"/>
        <w:rPr>
          <w:color w:val="auto"/>
          <w:szCs w:val="21"/>
        </w:rPr>
      </w:pPr>
      <w:r>
        <w:rPr>
          <w:rFonts w:hint="eastAsia"/>
          <w:color w:val="auto"/>
          <w:szCs w:val="21"/>
        </w:rPr>
        <w:t>开户银行：</w:t>
      </w:r>
      <w:r>
        <w:rPr>
          <w:color w:val="auto"/>
          <w:spacing w:val="-22"/>
          <w:sz w:val="24"/>
        </w:rPr>
        <w:t xml:space="preserve">           </w:t>
      </w:r>
      <w:r>
        <w:rPr>
          <w:color w:val="auto"/>
          <w:szCs w:val="21"/>
        </w:rPr>
        <w:t xml:space="preserve">            </w:t>
      </w:r>
      <w:r>
        <w:rPr>
          <w:rFonts w:hint="eastAsia"/>
          <w:color w:val="auto"/>
          <w:szCs w:val="21"/>
        </w:rPr>
        <w:t>开户银行：</w:t>
      </w:r>
      <w:r>
        <w:rPr>
          <w:color w:val="auto"/>
          <w:szCs w:val="21"/>
        </w:rPr>
        <w:t xml:space="preserve"> </w:t>
      </w:r>
    </w:p>
    <w:p>
      <w:pPr>
        <w:spacing w:line="360" w:lineRule="auto"/>
        <w:rPr>
          <w:color w:val="auto"/>
          <w:szCs w:val="21"/>
        </w:rPr>
      </w:pPr>
      <w:r>
        <w:rPr>
          <w:rFonts w:hint="eastAsia"/>
          <w:color w:val="auto"/>
          <w:szCs w:val="21"/>
        </w:rPr>
        <w:t>账号：</w:t>
      </w:r>
      <w:r>
        <w:rPr>
          <w:color w:val="auto"/>
          <w:szCs w:val="21"/>
        </w:rPr>
        <w:t xml:space="preserve">                          </w:t>
      </w:r>
      <w:r>
        <w:rPr>
          <w:rFonts w:hint="eastAsia"/>
          <w:color w:val="auto"/>
          <w:szCs w:val="21"/>
        </w:rPr>
        <w:t>账号：</w:t>
      </w:r>
      <w:r>
        <w:rPr>
          <w:color w:val="auto"/>
          <w:szCs w:val="21"/>
        </w:rPr>
        <w:t xml:space="preserve"> </w:t>
      </w:r>
    </w:p>
    <w:p>
      <w:pPr>
        <w:spacing w:line="360" w:lineRule="auto"/>
        <w:rPr>
          <w:color w:val="auto"/>
        </w:rPr>
      </w:pP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p>
    <w:p>
      <w:pPr>
        <w:rPr>
          <w:rFonts w:ascii="宋体" w:hAnsi="宋体"/>
          <w:b/>
          <w:bCs/>
          <w:sz w:val="32"/>
        </w:rPr>
      </w:pPr>
    </w:p>
    <w:p>
      <w:pPr>
        <w:pStyle w:val="2"/>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3"/>
        <w:keepNext w:val="0"/>
        <w:keepLines w:val="0"/>
        <w:pageBreakBefore w:val="0"/>
        <w:widowControl w:val="0"/>
        <w:kinsoku/>
        <w:wordWrap/>
        <w:overflowPunct/>
        <w:topLinePunct w:val="0"/>
        <w:autoSpaceDE/>
        <w:autoSpaceDN/>
        <w:bidi w:val="0"/>
        <w:snapToGrid/>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电动起重机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需求数量：厂房内需电动单梁起重机 5T 2台，电动单梁起重机 10T 2台，（一跨需要5T、10T各一台）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200" w:firstLineChars="500"/>
        <w:textAlignment w:val="auto"/>
        <w:outlineLvl w:val="9"/>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厂房外需电动单梁门式起重机 10T  1台(位置摆放详见图纸）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1.技术参数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（1）招标范围：电动单梁起重机的设计、制造、安装、调试、试车、验收、直至最后交付使用的完整性的工程。</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载荷：5T、10T。</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所用材料应当符合GB国家标准或ISO等国际标准。</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起重设备及其部件应具有互换性，备件应采用与原件同样的材质制作。</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起重机的结构和机械部分的设计均应考虑承受动、静荷载，以及碰撞引起的外力。</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吊钩应采用优质碳素钢制造，并经热处理，吊钩应有防止钢丝绳脱落的安全装置，和自由转动设施。钩体上应铸以额定载重量。</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全部起重机应具有下述内容的标牌，锒嵌在桥架上。</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420" w:leftChars="0" w:right="0" w:right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1.额定起重量    2.制造年份    3.型号和制造厂名</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起重机在100%额定负荷下允许点动操作。</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起重机所有相关设备均应符合本工程相应防腐、防潮、防绣、防水等要求。</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★龙门吊结构形式采用全包厢形式。</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★无接触滑触线规格≥25平方。</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电动单梁起重机轨道型号采用43#。</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电动单梁门式起重机10t 使用轨道暂定70米，据实结算</w:t>
      </w:r>
      <w:r>
        <w:rPr>
          <w:rFonts w:hint="eastAsia" w:asciiTheme="minorEastAsia" w:hAnsiTheme="minorEastAsia" w:eastAsiaTheme="minorEastAsia" w:cstheme="minorEastAsia"/>
          <w:kern w:val="2"/>
          <w:sz w:val="24"/>
          <w:szCs w:val="24"/>
          <w:lang w:val="en-US" w:eastAsia="zh-CN" w:bidi="ar-SA"/>
        </w:rPr>
        <w:t>。</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技术服务内容：负责设备的设计、试验、包装、运输、设备现场安装、验收、相关培训及售后服务。</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报价方需提供具体的设备质量保证措施。</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报价方需提供必要的备品备件及专用工具清单。</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★包含特种设备的验收及产品质量合格证明。</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10T及以上电动单梁起重机销售业绩，以合同及对应发票为准。</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 xml:space="preserve">  2.供货期：确定中标后25天，报价方需提供具体的交货方案供招标方参考。</w:t>
      </w:r>
    </w:p>
    <w:p>
      <w:pPr>
        <w:pStyle w:val="14"/>
        <w:widowControl/>
        <w:numPr>
          <w:ilvl w:val="0"/>
          <w:numId w:val="4"/>
        </w:numPr>
        <w:shd w:val="clear" w:color="auto" w:fill="FFFFFF"/>
        <w:spacing w:beforeAutospacing="0" w:afterAutospacing="0" w:line="480" w:lineRule="exact"/>
        <w:ind w:firstLine="240" w:firstLineChars="100"/>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交货地点：河北省石家庄市无极县北苏镇北苏村潘成产业园100米西南角</w:t>
      </w: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r>
        <w:rPr>
          <w:rFonts w:hint="eastAsia" w:cs="宋体" w:asciiTheme="minorEastAsia" w:hAnsiTheme="minorEastAsia" w:eastAsiaTheme="minorEastAsia"/>
          <w:bCs/>
          <w:color w:val="2B2B2B"/>
          <w:sz w:val="28"/>
          <w:szCs w:val="28"/>
          <w:shd w:val="clear" w:color="auto" w:fill="FFFFFF"/>
        </w:rPr>
        <w:t>无极保温管厂一期主生产厂房建筑施工图（天车示意）</w:t>
      </w:r>
    </w:p>
    <w:p>
      <w:pPr>
        <w:pStyle w:val="14"/>
        <w:widowControl/>
        <w:shd w:val="clear" w:color="auto" w:fill="FFFFFF"/>
        <w:spacing w:beforeAutospacing="0" w:afterAutospacing="0" w:line="240" w:lineRule="auto"/>
        <w:ind w:firstLine="560" w:firstLineChars="200"/>
        <w:rPr>
          <w:rFonts w:hint="eastAsia" w:cs="宋体" w:asciiTheme="minorEastAsia" w:hAnsiTheme="minorEastAsia" w:eastAsiaTheme="minorEastAsia"/>
          <w:bCs/>
          <w:color w:val="2B2B2B"/>
          <w:sz w:val="28"/>
          <w:szCs w:val="28"/>
          <w:shd w:val="clear" w:color="auto" w:fill="FFFFFF"/>
          <w:lang w:eastAsia="zh-CN"/>
        </w:rPr>
      </w:pPr>
      <w:r>
        <w:rPr>
          <w:rFonts w:hint="eastAsia" w:cs="宋体" w:asciiTheme="minorEastAsia" w:hAnsiTheme="minorEastAsia" w:eastAsiaTheme="minorEastAsia"/>
          <w:bCs/>
          <w:color w:val="2B2B2B"/>
          <w:sz w:val="28"/>
          <w:szCs w:val="28"/>
          <w:shd w:val="clear" w:color="auto" w:fill="FFFFFF"/>
          <w:lang w:eastAsia="zh-CN"/>
        </w:rPr>
        <w:drawing>
          <wp:inline distT="0" distB="0" distL="114300" distR="114300">
            <wp:extent cx="5657850" cy="8039100"/>
            <wp:effectExtent l="0" t="0" r="0" b="0"/>
            <wp:docPr id="2" name="图片 2" descr="kappframework-cQVeH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appframework-cQVeHB(1)(1)"/>
                    <pic:cNvPicPr>
                      <a:picLocks noChangeAspect="1"/>
                    </pic:cNvPicPr>
                  </pic:nvPicPr>
                  <pic:blipFill>
                    <a:blip r:embed="rId13"/>
                    <a:stretch>
                      <a:fillRect/>
                    </a:stretch>
                  </pic:blipFill>
                  <pic:spPr>
                    <a:xfrm>
                      <a:off x="0" y="0"/>
                      <a:ext cx="5657850" cy="8039100"/>
                    </a:xfrm>
                    <a:prstGeom prst="rect">
                      <a:avLst/>
                    </a:prstGeom>
                  </pic:spPr>
                </pic:pic>
              </a:graphicData>
            </a:graphic>
          </wp:inline>
        </w:drawing>
      </w: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240" w:lineRule="auto"/>
        <w:ind w:firstLine="560" w:firstLineChars="200"/>
        <w:rPr>
          <w:rFonts w:hint="eastAsia" w:cs="宋体" w:asciiTheme="minorEastAsia" w:hAnsiTheme="minorEastAsia" w:eastAsiaTheme="minorEastAsia"/>
          <w:bCs/>
          <w:color w:val="2B2B2B"/>
          <w:sz w:val="28"/>
          <w:szCs w:val="28"/>
          <w:shd w:val="clear" w:color="auto" w:fill="FFFFFF"/>
          <w:lang w:eastAsia="zh-CN"/>
        </w:rPr>
      </w:pPr>
      <w:r>
        <w:rPr>
          <w:rFonts w:hint="eastAsia" w:cs="宋体" w:asciiTheme="minorEastAsia" w:hAnsiTheme="minorEastAsia" w:eastAsiaTheme="minorEastAsia"/>
          <w:bCs/>
          <w:color w:val="2B2B2B"/>
          <w:sz w:val="28"/>
          <w:szCs w:val="28"/>
          <w:shd w:val="clear" w:color="auto" w:fill="FFFFFF"/>
          <w:lang w:eastAsia="zh-CN"/>
        </w:rPr>
        <w:drawing>
          <wp:inline distT="0" distB="0" distL="114300" distR="114300">
            <wp:extent cx="5743575" cy="8096250"/>
            <wp:effectExtent l="0" t="0" r="9525" b="0"/>
            <wp:docPr id="3" name="图片 3" descr="kappframework-yuFGyw(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kappframework-yuFGyw(1)(1)"/>
                    <pic:cNvPicPr>
                      <a:picLocks noChangeAspect="1"/>
                    </pic:cNvPicPr>
                  </pic:nvPicPr>
                  <pic:blipFill>
                    <a:blip r:embed="rId14"/>
                    <a:stretch>
                      <a:fillRect/>
                    </a:stretch>
                  </pic:blipFill>
                  <pic:spPr>
                    <a:xfrm>
                      <a:off x="0" y="0"/>
                      <a:ext cx="5743575" cy="8096250"/>
                    </a:xfrm>
                    <a:prstGeom prst="rect">
                      <a:avLst/>
                    </a:prstGeom>
                  </pic:spPr>
                </pic:pic>
              </a:graphicData>
            </a:graphic>
          </wp:inline>
        </w:drawing>
      </w: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p>
      <w:pPr>
        <w:pStyle w:val="14"/>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Style w:val="2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1"/>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2"/>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0A0AFD16"/>
    <w:multiLevelType w:val="singleLevel"/>
    <w:tmpl w:val="0A0AFD16"/>
    <w:lvl w:ilvl="0" w:tentative="0">
      <w:start w:val="2"/>
      <w:numFmt w:val="decimal"/>
      <w:suff w:val="nothing"/>
      <w:lvlText w:val="（%1）"/>
      <w:lvlJc w:val="left"/>
    </w:lvl>
  </w:abstractNum>
  <w:abstractNum w:abstractNumId="2">
    <w:nsid w:val="388A709D"/>
    <w:multiLevelType w:val="singleLevel"/>
    <w:tmpl w:val="388A709D"/>
    <w:lvl w:ilvl="0" w:tentative="0">
      <w:start w:val="3"/>
      <w:numFmt w:val="decimal"/>
      <w:lvlText w:val="%1."/>
      <w:lvlJc w:val="left"/>
      <w:pPr>
        <w:tabs>
          <w:tab w:val="left" w:pos="312"/>
        </w:tabs>
      </w:pPr>
    </w:lvl>
  </w:abstractNum>
  <w:abstractNum w:abstractNumId="3">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c5YWQyMmNhOGI5NjA2MTc1N2E2YTlhZDUzODU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D31873"/>
    <w:rsid w:val="02D955E5"/>
    <w:rsid w:val="04127858"/>
    <w:rsid w:val="04D8029D"/>
    <w:rsid w:val="08DC1FFB"/>
    <w:rsid w:val="097D3D5F"/>
    <w:rsid w:val="124278DB"/>
    <w:rsid w:val="1289790B"/>
    <w:rsid w:val="137BF07C"/>
    <w:rsid w:val="153B4ABB"/>
    <w:rsid w:val="16C61231"/>
    <w:rsid w:val="1AC838A7"/>
    <w:rsid w:val="1E144C1C"/>
    <w:rsid w:val="1E8D4C83"/>
    <w:rsid w:val="1F450FFF"/>
    <w:rsid w:val="20307BC1"/>
    <w:rsid w:val="21D1386D"/>
    <w:rsid w:val="22346EEE"/>
    <w:rsid w:val="23590843"/>
    <w:rsid w:val="24094BFE"/>
    <w:rsid w:val="24A97335"/>
    <w:rsid w:val="25891597"/>
    <w:rsid w:val="25F211C5"/>
    <w:rsid w:val="267365FD"/>
    <w:rsid w:val="27644D65"/>
    <w:rsid w:val="2AEA4B61"/>
    <w:rsid w:val="2D97159C"/>
    <w:rsid w:val="2F8C30E8"/>
    <w:rsid w:val="308275EA"/>
    <w:rsid w:val="30BE40BD"/>
    <w:rsid w:val="31996BAE"/>
    <w:rsid w:val="327D6059"/>
    <w:rsid w:val="32AA1C95"/>
    <w:rsid w:val="32CB3539"/>
    <w:rsid w:val="33557238"/>
    <w:rsid w:val="34662FF8"/>
    <w:rsid w:val="34B37CAB"/>
    <w:rsid w:val="36372C24"/>
    <w:rsid w:val="363D4628"/>
    <w:rsid w:val="36710922"/>
    <w:rsid w:val="372204BF"/>
    <w:rsid w:val="397D137C"/>
    <w:rsid w:val="3C7839FF"/>
    <w:rsid w:val="3D3430C2"/>
    <w:rsid w:val="3D9F343D"/>
    <w:rsid w:val="40BA7899"/>
    <w:rsid w:val="44660096"/>
    <w:rsid w:val="446E63AB"/>
    <w:rsid w:val="45937CFA"/>
    <w:rsid w:val="46433319"/>
    <w:rsid w:val="46465AC3"/>
    <w:rsid w:val="46B06618"/>
    <w:rsid w:val="48C23E92"/>
    <w:rsid w:val="49F006F7"/>
    <w:rsid w:val="4A6E0EB3"/>
    <w:rsid w:val="4AA417BD"/>
    <w:rsid w:val="4BC45849"/>
    <w:rsid w:val="4C560EC1"/>
    <w:rsid w:val="4CC052CA"/>
    <w:rsid w:val="4CC851EC"/>
    <w:rsid w:val="4D0E24D9"/>
    <w:rsid w:val="4D2E0CD4"/>
    <w:rsid w:val="4F602735"/>
    <w:rsid w:val="4F71227D"/>
    <w:rsid w:val="50967764"/>
    <w:rsid w:val="520B4735"/>
    <w:rsid w:val="52AC36DD"/>
    <w:rsid w:val="541C1980"/>
    <w:rsid w:val="544A2FED"/>
    <w:rsid w:val="54924423"/>
    <w:rsid w:val="55262802"/>
    <w:rsid w:val="56B11CB7"/>
    <w:rsid w:val="58C467C8"/>
    <w:rsid w:val="59030A18"/>
    <w:rsid w:val="59E131CC"/>
    <w:rsid w:val="5CFD1C22"/>
    <w:rsid w:val="60F6689E"/>
    <w:rsid w:val="613A012A"/>
    <w:rsid w:val="624D53FA"/>
    <w:rsid w:val="63B34D45"/>
    <w:rsid w:val="64DC3159"/>
    <w:rsid w:val="66BF23A1"/>
    <w:rsid w:val="675B5EC3"/>
    <w:rsid w:val="69E7542F"/>
    <w:rsid w:val="6B363925"/>
    <w:rsid w:val="6BA816D2"/>
    <w:rsid w:val="6D871122"/>
    <w:rsid w:val="6E9B5439"/>
    <w:rsid w:val="6EA41CD0"/>
    <w:rsid w:val="70555792"/>
    <w:rsid w:val="71FB20AE"/>
    <w:rsid w:val="73A35DE6"/>
    <w:rsid w:val="73FE0D25"/>
    <w:rsid w:val="75644FAA"/>
    <w:rsid w:val="75714743"/>
    <w:rsid w:val="76DF1945"/>
    <w:rsid w:val="76E8221B"/>
    <w:rsid w:val="774424D0"/>
    <w:rsid w:val="78B521C3"/>
    <w:rsid w:val="78D65AB4"/>
    <w:rsid w:val="790E2F8B"/>
    <w:rsid w:val="7A6FF8BB"/>
    <w:rsid w:val="7AD074B2"/>
    <w:rsid w:val="7E7D09B1"/>
    <w:rsid w:val="7EDF6F54"/>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link w:val="5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kern w:val="0"/>
      <w:szCs w:val="20"/>
    </w:rPr>
  </w:style>
  <w:style w:type="paragraph" w:styleId="3">
    <w:name w:val="Body Text"/>
    <w:basedOn w:val="1"/>
    <w:next w:val="4"/>
    <w:link w:val="29"/>
    <w:qFormat/>
    <w:uiPriority w:val="0"/>
    <w:pPr>
      <w:jc w:val="center"/>
      <w:outlineLvl w:val="0"/>
    </w:pPr>
    <w:rPr>
      <w:rFonts w:ascii="宋体"/>
      <w:b/>
      <w:sz w:val="44"/>
    </w:rPr>
  </w:style>
  <w:style w:type="paragraph" w:customStyle="1" w:styleId="4">
    <w:name w:val="_Style 2"/>
    <w:basedOn w:val="1"/>
    <w:next w:val="1"/>
    <w:qFormat/>
    <w:uiPriority w:val="99"/>
    <w:pPr>
      <w:ind w:firstLine="420" w:firstLineChars="200"/>
    </w:pPr>
  </w:style>
  <w:style w:type="paragraph" w:styleId="8">
    <w:name w:val="annotation text"/>
    <w:basedOn w:val="1"/>
    <w:link w:val="54"/>
    <w:semiHidden/>
    <w:unhideWhenUsed/>
    <w:qFormat/>
    <w:uiPriority w:val="0"/>
    <w:pPr>
      <w:jc w:val="left"/>
    </w:pPr>
  </w:style>
  <w:style w:type="paragraph" w:styleId="9">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0">
    <w:name w:val="Plain Text"/>
    <w:basedOn w:val="1"/>
    <w:link w:val="30"/>
    <w:qFormat/>
    <w:uiPriority w:val="0"/>
    <w:rPr>
      <w:rFonts w:ascii="宋体" w:hAnsi="Courier New"/>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210"/>
      <w:jc w:val="left"/>
    </w:pPr>
    <w:rPr>
      <w:i/>
      <w:iCs/>
      <w:sz w:val="20"/>
      <w:szCs w:val="24"/>
    </w:rPr>
  </w:style>
  <w:style w:type="paragraph" w:styleId="14">
    <w:name w:val="Normal (Web)"/>
    <w:basedOn w:val="1"/>
    <w:qFormat/>
    <w:uiPriority w:val="0"/>
    <w:pPr>
      <w:spacing w:before="100" w:beforeAutospacing="1" w:after="100" w:afterAutospacing="1"/>
      <w:jc w:val="left"/>
    </w:pPr>
    <w:rPr>
      <w:rFonts w:cs="Times New Roman"/>
      <w:kern w:val="0"/>
      <w:sz w:val="24"/>
      <w:szCs w:val="24"/>
    </w:rPr>
  </w:style>
  <w:style w:type="paragraph" w:styleId="15">
    <w:name w:val="Title"/>
    <w:basedOn w:val="1"/>
    <w:next w:val="1"/>
    <w:link w:val="56"/>
    <w:qFormat/>
    <w:uiPriority w:val="0"/>
    <w:pPr>
      <w:spacing w:before="240" w:after="60"/>
      <w:jc w:val="center"/>
      <w:outlineLvl w:val="0"/>
    </w:pPr>
    <w:rPr>
      <w:rFonts w:ascii="Cambria" w:hAnsi="Cambria"/>
      <w:b/>
      <w:bCs/>
      <w:sz w:val="32"/>
      <w:szCs w:val="32"/>
    </w:rPr>
  </w:style>
  <w:style w:type="paragraph" w:styleId="16">
    <w:name w:val="annotation subject"/>
    <w:basedOn w:val="8"/>
    <w:next w:val="8"/>
    <w:link w:val="55"/>
    <w:qFormat/>
    <w:uiPriority w:val="0"/>
    <w:rPr>
      <w:rFonts w:ascii="Times New Roman" w:hAnsi="Times New Roman" w:cs="Times New Roman"/>
      <w:szCs w:val="20"/>
    </w:rPr>
  </w:style>
  <w:style w:type="paragraph" w:styleId="17">
    <w:name w:val="Body Text First Indent"/>
    <w:basedOn w:val="3"/>
    <w:qFormat/>
    <w:uiPriority w:val="0"/>
    <w:pPr>
      <w:spacing w:line="360" w:lineRule="auto"/>
      <w:ind w:firstLine="309" w:firstLineChars="100"/>
    </w:pPr>
    <w:rPr>
      <w:bCs/>
      <w:color w:val="000000"/>
      <w:kern w:val="28"/>
      <w:szCs w:val="21"/>
    </w:rPr>
  </w:style>
  <w:style w:type="paragraph" w:styleId="18">
    <w:name w:val="Body Text First Indent 2"/>
    <w:basedOn w:val="9"/>
    <w:next w:val="1"/>
    <w:qFormat/>
    <w:uiPriority w:val="0"/>
    <w:pPr>
      <w:tabs>
        <w:tab w:val="left" w:pos="8280"/>
      </w:tabs>
      <w:ind w:firstLine="420" w:firstLineChars="200"/>
    </w:pPr>
    <w:rPr>
      <w:rFonts w:ascii="Times New Roman" w:hAnsi="Times New Roman"/>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Emphasis"/>
    <w:basedOn w:val="21"/>
    <w:qFormat/>
    <w:uiPriority w:val="20"/>
    <w:rPr>
      <w:i/>
      <w:iCs/>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21"/>
    <w:link w:val="12"/>
    <w:qFormat/>
    <w:uiPriority w:val="99"/>
    <w:rPr>
      <w:sz w:val="18"/>
      <w:szCs w:val="18"/>
    </w:rPr>
  </w:style>
  <w:style w:type="character" w:customStyle="1" w:styleId="27">
    <w:name w:val="页脚 字符"/>
    <w:basedOn w:val="21"/>
    <w:link w:val="11"/>
    <w:qFormat/>
    <w:uiPriority w:val="99"/>
    <w:rPr>
      <w:sz w:val="18"/>
      <w:szCs w:val="18"/>
    </w:rPr>
  </w:style>
  <w:style w:type="character" w:customStyle="1" w:styleId="28">
    <w:name w:val="正文文本 Char"/>
    <w:basedOn w:val="21"/>
    <w:qFormat/>
    <w:uiPriority w:val="0"/>
    <w:rPr>
      <w:rFonts w:ascii="宋体" w:eastAsia="宋体"/>
      <w:b/>
      <w:sz w:val="44"/>
    </w:rPr>
  </w:style>
  <w:style w:type="character" w:customStyle="1" w:styleId="29">
    <w:name w:val="正文文本 字符"/>
    <w:basedOn w:val="21"/>
    <w:link w:val="3"/>
    <w:qFormat/>
    <w:uiPriority w:val="99"/>
  </w:style>
  <w:style w:type="character" w:customStyle="1" w:styleId="30">
    <w:name w:val="纯文本 字符"/>
    <w:basedOn w:val="21"/>
    <w:link w:val="10"/>
    <w:qFormat/>
    <w:uiPriority w:val="99"/>
    <w:rPr>
      <w:rFonts w:ascii="宋体" w:hAnsi="Courier New" w:eastAsia="宋体"/>
    </w:rPr>
  </w:style>
  <w:style w:type="paragraph" w:styleId="31">
    <w:name w:val="List Paragraph"/>
    <w:basedOn w:val="1"/>
    <w:qFormat/>
    <w:uiPriority w:val="34"/>
    <w:pPr>
      <w:ind w:firstLine="420" w:firstLineChars="200"/>
    </w:pPr>
  </w:style>
  <w:style w:type="paragraph" w:customStyle="1" w:styleId="3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21"/>
    <w:qFormat/>
    <w:uiPriority w:val="0"/>
    <w:rPr>
      <w:rFonts w:hint="default" w:ascii="MS Sans Serif" w:hAnsi="MS Sans Serif" w:eastAsia="MS Sans Serif" w:cs="MS Sans Serif"/>
      <w:color w:val="000000"/>
      <w:sz w:val="20"/>
      <w:szCs w:val="20"/>
      <w:u w:val="none"/>
    </w:rPr>
  </w:style>
  <w:style w:type="character" w:customStyle="1" w:styleId="37">
    <w:name w:val="font11"/>
    <w:basedOn w:val="21"/>
    <w:qFormat/>
    <w:uiPriority w:val="0"/>
    <w:rPr>
      <w:rFonts w:hint="eastAsia" w:ascii="宋体" w:hAnsi="宋体" w:eastAsia="宋体" w:cs="宋体"/>
      <w:color w:val="000000"/>
      <w:sz w:val="20"/>
      <w:szCs w:val="20"/>
      <w:u w:val="none"/>
    </w:rPr>
  </w:style>
  <w:style w:type="paragraph" w:styleId="38">
    <w:name w:val="Intense Quote"/>
    <w:basedOn w:val="1"/>
    <w:next w:val="1"/>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21"/>
    <w:qFormat/>
    <w:uiPriority w:val="0"/>
    <w:rPr>
      <w:rFonts w:hint="eastAsia" w:ascii="宋体" w:hAnsi="宋体" w:eastAsia="宋体" w:cs="宋体"/>
      <w:b/>
      <w:bCs/>
      <w:color w:val="000000"/>
      <w:sz w:val="20"/>
      <w:szCs w:val="20"/>
      <w:u w:val="none"/>
    </w:rPr>
  </w:style>
  <w:style w:type="character" w:customStyle="1" w:styleId="40">
    <w:name w:val="font81"/>
    <w:basedOn w:val="21"/>
    <w:qFormat/>
    <w:uiPriority w:val="0"/>
    <w:rPr>
      <w:rFonts w:hint="eastAsia" w:ascii="宋体" w:hAnsi="宋体" w:eastAsia="宋体" w:cs="宋体"/>
      <w:color w:val="000000"/>
      <w:sz w:val="20"/>
      <w:szCs w:val="20"/>
      <w:u w:val="none"/>
    </w:rPr>
  </w:style>
  <w:style w:type="character" w:customStyle="1" w:styleId="41">
    <w:name w:val="font41"/>
    <w:basedOn w:val="21"/>
    <w:qFormat/>
    <w:uiPriority w:val="0"/>
    <w:rPr>
      <w:rFonts w:hint="default" w:ascii="Times New Roman" w:hAnsi="Times New Roman" w:cs="Times New Roman"/>
      <w:color w:val="000000"/>
      <w:sz w:val="20"/>
      <w:szCs w:val="20"/>
      <w:u w:val="none"/>
    </w:rPr>
  </w:style>
  <w:style w:type="character" w:customStyle="1" w:styleId="42">
    <w:name w:val="font112"/>
    <w:basedOn w:val="21"/>
    <w:qFormat/>
    <w:uiPriority w:val="0"/>
    <w:rPr>
      <w:rFonts w:hint="eastAsia" w:ascii="宋体" w:hAnsi="宋体" w:eastAsia="宋体" w:cs="宋体"/>
      <w:color w:val="000000"/>
      <w:sz w:val="20"/>
      <w:szCs w:val="20"/>
      <w:u w:val="none"/>
    </w:rPr>
  </w:style>
  <w:style w:type="character" w:customStyle="1" w:styleId="43">
    <w:name w:val="font61"/>
    <w:basedOn w:val="21"/>
    <w:qFormat/>
    <w:uiPriority w:val="0"/>
    <w:rPr>
      <w:rFonts w:hint="default" w:ascii="Times New Roman" w:hAnsi="Times New Roman" w:cs="Times New Roman"/>
      <w:color w:val="000000"/>
      <w:sz w:val="20"/>
      <w:szCs w:val="20"/>
      <w:u w:val="none"/>
    </w:rPr>
  </w:style>
  <w:style w:type="character" w:customStyle="1" w:styleId="44">
    <w:name w:val="font21"/>
    <w:basedOn w:val="21"/>
    <w:qFormat/>
    <w:uiPriority w:val="0"/>
    <w:rPr>
      <w:rFonts w:hint="default" w:ascii="Times New Roman" w:hAnsi="Times New Roman" w:cs="Times New Roman"/>
      <w:color w:val="000000"/>
      <w:sz w:val="20"/>
      <w:szCs w:val="20"/>
      <w:u w:val="none"/>
    </w:rPr>
  </w:style>
  <w:style w:type="character" w:customStyle="1" w:styleId="45">
    <w:name w:val="font51"/>
    <w:basedOn w:val="21"/>
    <w:qFormat/>
    <w:uiPriority w:val="0"/>
    <w:rPr>
      <w:rFonts w:hint="default" w:ascii="Times New Roman" w:hAnsi="Times New Roman" w:cs="Times New Roman"/>
      <w:b/>
      <w:bCs/>
      <w:color w:val="000000"/>
      <w:sz w:val="20"/>
      <w:szCs w:val="20"/>
      <w:u w:val="none"/>
    </w:rPr>
  </w:style>
  <w:style w:type="character" w:customStyle="1" w:styleId="46">
    <w:name w:val="font121"/>
    <w:basedOn w:val="21"/>
    <w:qFormat/>
    <w:uiPriority w:val="0"/>
    <w:rPr>
      <w:rFonts w:hint="eastAsia" w:ascii="宋体" w:hAnsi="宋体" w:eastAsia="宋体" w:cs="宋体"/>
      <w:color w:val="0D0D0D"/>
      <w:sz w:val="20"/>
      <w:szCs w:val="20"/>
      <w:u w:val="none"/>
    </w:rPr>
  </w:style>
  <w:style w:type="character" w:customStyle="1" w:styleId="47">
    <w:name w:val="font71"/>
    <w:basedOn w:val="21"/>
    <w:qFormat/>
    <w:uiPriority w:val="0"/>
    <w:rPr>
      <w:rFonts w:hint="default" w:ascii="Times New Roman" w:hAnsi="Times New Roman" w:cs="Times New Roman"/>
      <w:color w:val="0D0D0D"/>
      <w:sz w:val="20"/>
      <w:szCs w:val="20"/>
      <w:u w:val="none"/>
    </w:rPr>
  </w:style>
  <w:style w:type="paragraph" w:customStyle="1" w:styleId="48">
    <w:name w:val="正文2"/>
    <w:basedOn w:val="1"/>
    <w:qFormat/>
    <w:uiPriority w:val="0"/>
    <w:pPr>
      <w:adjustRightInd w:val="0"/>
      <w:spacing w:line="318" w:lineRule="atLeast"/>
      <w:ind w:left="369" w:firstLine="369"/>
      <w:textAlignment w:val="baseline"/>
    </w:pPr>
    <w:rPr>
      <w:rFonts w:ascii="宋体"/>
      <w:szCs w:val="20"/>
    </w:rPr>
  </w:style>
  <w:style w:type="character" w:customStyle="1" w:styleId="49">
    <w:name w:val="标题 2 Char Char"/>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21"/>
    <w:qFormat/>
    <w:uiPriority w:val="0"/>
    <w:rPr>
      <w:rFonts w:hint="eastAsia" w:ascii="宋体" w:hAnsi="宋体" w:eastAsia="宋体" w:cs="宋体"/>
      <w:color w:val="000000"/>
      <w:sz w:val="20"/>
      <w:szCs w:val="20"/>
      <w:u w:val="none"/>
    </w:rPr>
  </w:style>
  <w:style w:type="paragraph" w:customStyle="1" w:styleId="52">
    <w:name w:val="标题 31"/>
    <w:basedOn w:val="1"/>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21"/>
    <w:link w:val="5"/>
    <w:qFormat/>
    <w:uiPriority w:val="0"/>
    <w:rPr>
      <w:rFonts w:asciiTheme="minorHAnsi" w:hAnsiTheme="minorHAnsi" w:eastAsiaTheme="minorEastAsia" w:cstheme="minorBidi"/>
      <w:b/>
      <w:bCs/>
      <w:kern w:val="44"/>
      <w:sz w:val="44"/>
      <w:szCs w:val="44"/>
    </w:rPr>
  </w:style>
  <w:style w:type="character" w:customStyle="1" w:styleId="54">
    <w:name w:val="批注文字 字符"/>
    <w:basedOn w:val="21"/>
    <w:link w:val="8"/>
    <w:semiHidden/>
    <w:qFormat/>
    <w:uiPriority w:val="0"/>
    <w:rPr>
      <w:rFonts w:ascii="Calibri" w:hAnsi="Calibri" w:cs="宋体"/>
      <w:kern w:val="2"/>
      <w:sz w:val="21"/>
      <w:szCs w:val="22"/>
    </w:rPr>
  </w:style>
  <w:style w:type="character" w:customStyle="1" w:styleId="55">
    <w:name w:val="批注主题 字符"/>
    <w:basedOn w:val="54"/>
    <w:link w:val="16"/>
    <w:qFormat/>
    <w:uiPriority w:val="0"/>
    <w:rPr>
      <w:rFonts w:ascii="Calibri" w:hAnsi="Calibri" w:cs="宋体"/>
      <w:kern w:val="2"/>
      <w:sz w:val="21"/>
      <w:szCs w:val="22"/>
    </w:rPr>
  </w:style>
  <w:style w:type="character" w:customStyle="1" w:styleId="56">
    <w:name w:val="标题 字符"/>
    <w:link w:val="15"/>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7155</Words>
  <Characters>7618</Characters>
  <Lines>71</Lines>
  <Paragraphs>20</Paragraphs>
  <TotalTime>20</TotalTime>
  <ScaleCrop>false</ScaleCrop>
  <LinksUpToDate>false</LinksUpToDate>
  <CharactersWithSpaces>8338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Lenovo</cp:lastModifiedBy>
  <cp:lastPrinted>2022-07-04T11:19:00Z</cp:lastPrinted>
  <dcterms:modified xsi:type="dcterms:W3CDTF">2023-08-17T08:50:23Z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65352AB40FF04F3F97CD139EDA44D8CD_13</vt:lpwstr>
  </property>
</Properties>
</file>