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after="0"/>
        <w:ind w:firstLine="0" w:firstLineChars="0"/>
        <w:rPr>
          <w:color w:val="auto"/>
          <w:sz w:val="44"/>
          <w:szCs w:val="44"/>
          <w:highlight w:val="none"/>
        </w:rPr>
      </w:pPr>
    </w:p>
    <w:p>
      <w:pPr>
        <w:pStyle w:val="28"/>
        <w:spacing w:after="0"/>
        <w:ind w:firstLine="0" w:firstLineChars="0"/>
        <w:jc w:val="center"/>
        <w:rPr>
          <w:rFonts w:ascii="宋体" w:hAnsi="宋体" w:cs="宋体"/>
          <w:b/>
          <w:color w:val="auto"/>
          <w:kern w:val="2"/>
          <w:sz w:val="44"/>
          <w:szCs w:val="44"/>
          <w:highlight w:val="none"/>
        </w:rPr>
      </w:pPr>
      <w:r>
        <w:rPr>
          <w:rFonts w:hint="eastAsia" w:ascii="宋体" w:hAnsi="宋体" w:cs="宋体"/>
          <w:b/>
          <w:color w:val="auto"/>
          <w:kern w:val="2"/>
          <w:sz w:val="44"/>
          <w:szCs w:val="44"/>
          <w:highlight w:val="none"/>
        </w:rPr>
        <w:t>石家庄承宏工程建设有限公司</w:t>
      </w:r>
    </w:p>
    <w:p>
      <w:pPr>
        <w:spacing w:before="295"/>
        <w:ind w:left="871" w:right="871"/>
        <w:jc w:val="center"/>
        <w:rPr>
          <w:rFonts w:hint="eastAsia" w:ascii="宋体" w:hAnsi="宋体" w:cs="宋体"/>
          <w:b/>
          <w:bCs/>
          <w:sz w:val="44"/>
          <w:szCs w:val="44"/>
          <w:highlight w:val="none"/>
          <w:lang w:eastAsia="zh-CN"/>
        </w:rPr>
      </w:pPr>
      <w:r>
        <w:rPr>
          <w:rFonts w:hint="eastAsia" w:ascii="宋体" w:hAnsi="宋体" w:cs="宋体"/>
          <w:b/>
          <w:bCs/>
          <w:sz w:val="44"/>
          <w:szCs w:val="44"/>
          <w:highlight w:val="none"/>
          <w:lang w:val="en-US" w:eastAsia="zh-CN"/>
        </w:rPr>
        <w:t>应急物资采购</w:t>
      </w:r>
      <w:r>
        <w:rPr>
          <w:rFonts w:hint="eastAsia" w:ascii="宋体" w:hAnsi="宋体" w:cs="宋体"/>
          <w:b/>
          <w:bCs/>
          <w:sz w:val="44"/>
          <w:szCs w:val="44"/>
          <w:highlight w:val="none"/>
          <w:lang w:eastAsia="zh-CN"/>
        </w:rPr>
        <w:t>项目（十七）</w:t>
      </w:r>
    </w:p>
    <w:p>
      <w:pPr>
        <w:pStyle w:val="2"/>
        <w:spacing w:after="0" w:line="360" w:lineRule="auto"/>
        <w:jc w:val="center"/>
        <w:rPr>
          <w:rFonts w:ascii="黑体" w:hAnsi="黑体" w:eastAsia="黑体" w:cs="宋体"/>
          <w:b/>
          <w:bCs/>
          <w:snapToGrid w:val="0"/>
          <w:kern w:val="0"/>
          <w:sz w:val="40"/>
          <w:szCs w:val="40"/>
          <w:highlight w:val="none"/>
        </w:rPr>
      </w:pPr>
      <w:r>
        <w:rPr>
          <w:rFonts w:hint="eastAsia" w:ascii="宋体" w:hAnsi="宋体" w:cs="宋体"/>
          <w:b/>
          <w:bCs/>
          <w:sz w:val="44"/>
          <w:szCs w:val="44"/>
          <w:highlight w:val="none"/>
          <w:lang w:val="en-US" w:eastAsia="zh-CN"/>
        </w:rPr>
        <w:t>换热站相关设备</w:t>
      </w:r>
    </w:p>
    <w:p>
      <w:pPr>
        <w:pStyle w:val="2"/>
        <w:spacing w:after="0" w:line="360" w:lineRule="auto"/>
        <w:jc w:val="center"/>
        <w:rPr>
          <w:rFonts w:ascii="黑体" w:hAnsi="黑体" w:eastAsia="黑体" w:cs="宋体"/>
          <w:b/>
          <w:bCs/>
          <w:snapToGrid w:val="0"/>
          <w:kern w:val="0"/>
          <w:sz w:val="40"/>
          <w:szCs w:val="40"/>
          <w:highlight w:val="none"/>
        </w:rPr>
      </w:pPr>
    </w:p>
    <w:p>
      <w:pPr>
        <w:pStyle w:val="2"/>
        <w:spacing w:after="0" w:line="360" w:lineRule="auto"/>
        <w:jc w:val="center"/>
        <w:rPr>
          <w:rFonts w:ascii="黑体" w:hAnsi="黑体" w:eastAsia="黑体" w:cs="宋体"/>
          <w:snapToGrid w:val="0"/>
          <w:kern w:val="0"/>
          <w:sz w:val="36"/>
          <w:szCs w:val="36"/>
          <w:highlight w:val="none"/>
        </w:rPr>
      </w:pPr>
    </w:p>
    <w:p>
      <w:pPr>
        <w:pStyle w:val="2"/>
        <w:spacing w:after="0" w:line="360" w:lineRule="auto"/>
        <w:jc w:val="center"/>
        <w:rPr>
          <w:rFonts w:ascii="黑体" w:hAnsi="黑体" w:eastAsia="黑体" w:cs="宋体"/>
          <w:snapToGrid w:val="0"/>
          <w:kern w:val="0"/>
          <w:sz w:val="36"/>
          <w:szCs w:val="36"/>
          <w:highlight w:val="none"/>
        </w:rPr>
      </w:pPr>
      <w:r>
        <w:rPr>
          <w:rFonts w:hint="eastAsia" w:ascii="黑体" w:hAnsi="黑体" w:eastAsia="黑体" w:cs="宋体"/>
          <w:snapToGrid w:val="0"/>
          <w:kern w:val="0"/>
          <w:sz w:val="44"/>
          <w:szCs w:val="44"/>
          <w:highlight w:val="none"/>
        </w:rPr>
        <w:t>比选文件</w:t>
      </w:r>
    </w:p>
    <w:p>
      <w:pPr>
        <w:pStyle w:val="2"/>
        <w:spacing w:after="0" w:line="360" w:lineRule="auto"/>
        <w:jc w:val="center"/>
        <w:rPr>
          <w:rFonts w:ascii="黑体" w:hAnsi="黑体" w:eastAsia="黑体" w:cs="宋体"/>
          <w:snapToGrid w:val="0"/>
          <w:kern w:val="0"/>
          <w:sz w:val="36"/>
          <w:szCs w:val="36"/>
          <w:highlight w:val="none"/>
        </w:rPr>
      </w:pPr>
    </w:p>
    <w:p>
      <w:pPr>
        <w:pStyle w:val="28"/>
        <w:spacing w:after="0"/>
        <w:ind w:firstLine="241"/>
        <w:rPr>
          <w:rFonts w:ascii="Tahoma" w:hAnsi="Tahoma"/>
          <w:b/>
          <w:sz w:val="24"/>
          <w:highlight w:val="none"/>
        </w:rPr>
      </w:pPr>
    </w:p>
    <w:p>
      <w:pPr>
        <w:widowControl/>
        <w:spacing w:line="360" w:lineRule="auto"/>
        <w:rPr>
          <w:rFonts w:ascii="宋体" w:cs="宋体"/>
          <w:b/>
          <w:kern w:val="0"/>
          <w:sz w:val="30"/>
          <w:szCs w:val="30"/>
          <w:highlight w:val="none"/>
        </w:rPr>
      </w:pPr>
    </w:p>
    <w:p>
      <w:pPr>
        <w:widowControl/>
        <w:spacing w:line="360" w:lineRule="auto"/>
        <w:ind w:firstLine="1807" w:firstLineChars="600"/>
        <w:rPr>
          <w:rFonts w:ascii="宋体" w:cs="宋体"/>
          <w:b/>
          <w:kern w:val="0"/>
          <w:sz w:val="30"/>
          <w:szCs w:val="30"/>
          <w:highlight w:val="none"/>
        </w:rPr>
      </w:pPr>
    </w:p>
    <w:p>
      <w:pPr>
        <w:widowControl/>
        <w:spacing w:line="360" w:lineRule="auto"/>
        <w:ind w:firstLine="1807" w:firstLineChars="600"/>
        <w:rPr>
          <w:rFonts w:ascii="宋体" w:cs="宋体"/>
          <w:b/>
          <w:kern w:val="0"/>
          <w:sz w:val="30"/>
          <w:szCs w:val="30"/>
          <w:highlight w:val="none"/>
        </w:rPr>
      </w:pPr>
    </w:p>
    <w:p>
      <w:pPr>
        <w:widowControl/>
        <w:spacing w:line="360" w:lineRule="auto"/>
        <w:rPr>
          <w:rFonts w:ascii="宋体" w:cs="宋体"/>
          <w:b/>
          <w:kern w:val="0"/>
          <w:sz w:val="36"/>
          <w:szCs w:val="36"/>
          <w:highlight w:val="none"/>
        </w:rPr>
      </w:pPr>
    </w:p>
    <w:p>
      <w:pPr>
        <w:widowControl/>
        <w:spacing w:line="360" w:lineRule="auto"/>
        <w:jc w:val="center"/>
        <w:rPr>
          <w:rFonts w:ascii="宋体" w:cs="宋体"/>
          <w:b/>
          <w:kern w:val="0"/>
          <w:sz w:val="36"/>
          <w:szCs w:val="36"/>
          <w:highlight w:val="none"/>
        </w:rPr>
      </w:pPr>
      <w:r>
        <w:rPr>
          <w:rFonts w:hint="eastAsia" w:ascii="宋体" w:cs="宋体"/>
          <w:b/>
          <w:kern w:val="0"/>
          <w:sz w:val="36"/>
          <w:szCs w:val="36"/>
          <w:highlight w:val="none"/>
        </w:rPr>
        <w:t>发布人：石家庄承宏工程建设有限公司</w:t>
      </w:r>
    </w:p>
    <w:p>
      <w:pPr>
        <w:widowControl/>
        <w:spacing w:line="360" w:lineRule="auto"/>
        <w:ind w:firstLine="361" w:firstLineChars="100"/>
        <w:jc w:val="center"/>
        <w:rPr>
          <w:rFonts w:ascii="宋体" w:cs="宋体"/>
          <w:b/>
          <w:kern w:val="0"/>
          <w:sz w:val="36"/>
          <w:szCs w:val="36"/>
          <w:highlight w:val="none"/>
        </w:rPr>
      </w:pPr>
    </w:p>
    <w:p>
      <w:pPr>
        <w:widowControl/>
        <w:spacing w:line="360" w:lineRule="auto"/>
        <w:jc w:val="center"/>
        <w:rPr>
          <w:rFonts w:ascii="宋体" w:cs="宋体"/>
          <w:b/>
          <w:kern w:val="0"/>
          <w:sz w:val="30"/>
          <w:szCs w:val="30"/>
          <w:highlight w:val="none"/>
        </w:rPr>
      </w:pPr>
      <w:r>
        <w:rPr>
          <w:rFonts w:hint="eastAsia" w:ascii="宋体" w:cs="宋体"/>
          <w:b/>
          <w:kern w:val="0"/>
          <w:sz w:val="36"/>
          <w:szCs w:val="36"/>
          <w:highlight w:val="none"/>
        </w:rPr>
        <w:t>2023年</w:t>
      </w:r>
      <w:r>
        <w:rPr>
          <w:rFonts w:hint="eastAsia" w:ascii="宋体" w:cs="宋体"/>
          <w:b/>
          <w:kern w:val="0"/>
          <w:sz w:val="36"/>
          <w:szCs w:val="36"/>
          <w:highlight w:val="none"/>
          <w:lang w:val="en-US" w:eastAsia="zh-CN"/>
        </w:rPr>
        <w:t>9</w:t>
      </w:r>
      <w:r>
        <w:rPr>
          <w:rFonts w:hint="eastAsia" w:ascii="宋体" w:cs="宋体"/>
          <w:b/>
          <w:kern w:val="0"/>
          <w:sz w:val="36"/>
          <w:szCs w:val="36"/>
          <w:highlight w:val="none"/>
        </w:rPr>
        <w:t>月</w:t>
      </w:r>
    </w:p>
    <w:p>
      <w:pPr>
        <w:spacing w:line="360" w:lineRule="auto"/>
        <w:rPr>
          <w:sz w:val="30"/>
          <w:szCs w:val="30"/>
          <w:highlight w:val="none"/>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Pr>
        <w:rPr>
          <w:highlight w:val="none"/>
        </w:rPr>
      </w:pPr>
    </w:p>
    <w:p>
      <w:pPr>
        <w:jc w:val="center"/>
        <w:outlineLvl w:val="0"/>
        <w:rPr>
          <w:rFonts w:ascii="宋体" w:cs="宋体"/>
          <w:kern w:val="0"/>
          <w:sz w:val="36"/>
          <w:szCs w:val="36"/>
          <w:highlight w:val="none"/>
        </w:rPr>
      </w:pPr>
      <w:bookmarkStart w:id="0" w:name="_Toc7028"/>
      <w:bookmarkStart w:id="1" w:name="_Toc16820"/>
      <w:bookmarkStart w:id="2" w:name="_Toc1893"/>
      <w:bookmarkStart w:id="3" w:name="_Toc9252"/>
      <w:bookmarkStart w:id="4" w:name="_Toc15937"/>
      <w:bookmarkStart w:id="5" w:name="_Toc27485"/>
      <w:bookmarkStart w:id="6" w:name="_Toc29917"/>
      <w:bookmarkStart w:id="7" w:name="_Toc9360"/>
      <w:bookmarkStart w:id="8" w:name="_Toc475527101"/>
      <w:r>
        <w:rPr>
          <w:rFonts w:hint="eastAsia" w:ascii="宋体" w:cs="宋体"/>
          <w:kern w:val="0"/>
          <w:sz w:val="36"/>
          <w:szCs w:val="36"/>
          <w:highlight w:val="none"/>
        </w:rPr>
        <w:t>目  录</w:t>
      </w:r>
      <w:bookmarkEnd w:id="0"/>
      <w:bookmarkEnd w:id="1"/>
      <w:bookmarkEnd w:id="2"/>
      <w:bookmarkEnd w:id="3"/>
      <w:bookmarkEnd w:id="4"/>
      <w:bookmarkEnd w:id="5"/>
      <w:bookmarkEnd w:id="6"/>
      <w:bookmarkEnd w:id="7"/>
    </w:p>
    <w:p>
      <w:pPr>
        <w:pStyle w:val="2"/>
        <w:rPr>
          <w:sz w:val="40"/>
          <w:highlight w:val="none"/>
        </w:rPr>
      </w:pPr>
    </w:p>
    <w:p>
      <w:pPr>
        <w:pStyle w:val="2"/>
        <w:ind w:firstLine="933" w:firstLineChars="300"/>
        <w:rPr>
          <w:sz w:val="32"/>
          <w:highlight w:val="none"/>
        </w:rPr>
      </w:pPr>
      <w:r>
        <w:rPr>
          <w:rFonts w:hint="eastAsia"/>
          <w:sz w:val="32"/>
          <w:highlight w:val="none"/>
        </w:rPr>
        <w:t>第</w:t>
      </w:r>
      <w:r>
        <w:rPr>
          <w:rFonts w:hint="eastAsia"/>
          <w:sz w:val="32"/>
          <w:highlight w:val="none"/>
          <w:lang w:eastAsia="zh-CN"/>
        </w:rPr>
        <w:t>一</w:t>
      </w:r>
      <w:r>
        <w:rPr>
          <w:rFonts w:hint="eastAsia"/>
          <w:sz w:val="32"/>
          <w:highlight w:val="none"/>
        </w:rPr>
        <w:t>章   参选人须知</w:t>
      </w:r>
    </w:p>
    <w:p>
      <w:pPr>
        <w:pStyle w:val="2"/>
        <w:ind w:firstLine="933" w:firstLineChars="300"/>
        <w:rPr>
          <w:rFonts w:hint="eastAsia"/>
          <w:sz w:val="32"/>
          <w:highlight w:val="none"/>
        </w:rPr>
      </w:pPr>
      <w:r>
        <w:rPr>
          <w:rFonts w:hint="eastAsia"/>
          <w:sz w:val="32"/>
          <w:highlight w:val="none"/>
        </w:rPr>
        <w:t>第</w:t>
      </w:r>
      <w:r>
        <w:rPr>
          <w:rFonts w:hint="eastAsia"/>
          <w:sz w:val="32"/>
          <w:highlight w:val="none"/>
          <w:lang w:eastAsia="zh-CN"/>
        </w:rPr>
        <w:t>二</w:t>
      </w:r>
      <w:r>
        <w:rPr>
          <w:rFonts w:hint="eastAsia"/>
          <w:sz w:val="32"/>
          <w:highlight w:val="none"/>
        </w:rPr>
        <w:t>章   响应文件格式</w:t>
      </w:r>
    </w:p>
    <w:p>
      <w:pPr>
        <w:rPr>
          <w:rFonts w:hint="default" w:eastAsia="宋体"/>
          <w:highlight w:val="none"/>
          <w:lang w:val="en-US" w:eastAsia="zh-CN"/>
        </w:rPr>
      </w:pPr>
      <w:r>
        <w:rPr>
          <w:rFonts w:hint="eastAsia"/>
          <w:sz w:val="32"/>
          <w:highlight w:val="none"/>
          <w:lang w:val="en-US" w:eastAsia="zh-CN"/>
        </w:rPr>
        <w:t xml:space="preserve">      第三章   设备清单</w:t>
      </w:r>
    </w:p>
    <w:bookmarkEnd w:id="8"/>
    <w:p>
      <w:pPr>
        <w:spacing w:line="720" w:lineRule="auto"/>
        <w:jc w:val="center"/>
        <w:outlineLvl w:val="1"/>
        <w:rPr>
          <w:rFonts w:hint="eastAsia" w:ascii="宋体" w:cs="宋体"/>
          <w:b/>
          <w:bCs/>
          <w:snapToGrid w:val="0"/>
          <w:kern w:val="0"/>
          <w:sz w:val="44"/>
          <w:szCs w:val="44"/>
          <w:highlight w:val="none"/>
        </w:rPr>
      </w:pPr>
      <w:bookmarkStart w:id="9" w:name="_Toc9249"/>
      <w:bookmarkStart w:id="10" w:name="_Toc13783"/>
      <w:bookmarkStart w:id="11" w:name="_Toc17223"/>
      <w:bookmarkStart w:id="12" w:name="_Toc12829"/>
      <w:bookmarkStart w:id="13" w:name="_Toc19817"/>
      <w:bookmarkStart w:id="14" w:name="_Toc23301"/>
      <w:bookmarkStart w:id="15" w:name="_Toc23647"/>
      <w:bookmarkStart w:id="16" w:name="_Toc3275"/>
      <w:bookmarkStart w:id="17" w:name="_Toc10675"/>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sectPr>
          <w:footerReference r:id="rId7" w:type="default"/>
          <w:pgSz w:w="11906" w:h="16838"/>
          <w:pgMar w:top="1417" w:right="1701" w:bottom="1417" w:left="1701" w:header="851" w:footer="992" w:gutter="0"/>
          <w:pgNumType w:fmt="decimal" w:start="1"/>
          <w:cols w:space="720" w:num="1"/>
          <w:docGrid w:type="linesAndChars" w:linePitch="289" w:charSpace="-1844"/>
        </w:sectPr>
      </w:pPr>
    </w:p>
    <w:p>
      <w:pPr>
        <w:spacing w:line="720" w:lineRule="auto"/>
        <w:jc w:val="center"/>
        <w:outlineLvl w:val="1"/>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bookmarkEnd w:id="9"/>
      <w:bookmarkEnd w:id="10"/>
      <w:bookmarkEnd w:id="11"/>
      <w:bookmarkEnd w:id="12"/>
      <w:bookmarkEnd w:id="13"/>
      <w:bookmarkEnd w:id="14"/>
      <w:bookmarkEnd w:id="15"/>
      <w:bookmarkEnd w:id="16"/>
      <w:bookmarkEnd w:id="17"/>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bookmarkStart w:id="18" w:name="_Toc18909"/>
      <w:bookmarkStart w:id="19" w:name="_Toc32441"/>
      <w:bookmarkStart w:id="20" w:name="_Toc421110024"/>
      <w:bookmarkStart w:id="21" w:name="_Toc23909"/>
      <w:bookmarkStart w:id="22" w:name="_Toc28077"/>
      <w:bookmarkStart w:id="23" w:name="_Toc14296"/>
      <w:bookmarkStart w:id="24" w:name="_Toc4359"/>
      <w:bookmarkStart w:id="25" w:name="_Toc1433"/>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一、</w:t>
      </w:r>
      <w:r>
        <w:rPr>
          <w:rFonts w:hint="eastAsia" w:ascii="宋体" w:hAnsi="宋体" w:cs="宋体"/>
          <w:b/>
          <w:bCs/>
          <w:color w:val="000000"/>
          <w:kern w:val="0"/>
          <w:sz w:val="24"/>
          <w:highlight w:val="none"/>
        </w:rPr>
        <w:t>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b/>
          <w:bCs/>
          <w:color w:val="000000"/>
          <w:kern w:val="0"/>
          <w:sz w:val="24"/>
          <w:highlight w:val="none"/>
          <w:lang w:eastAsia="zh-CN"/>
        </w:rPr>
      </w:pPr>
      <w:r>
        <w:rPr>
          <w:rFonts w:hint="eastAsia" w:ascii="宋体" w:hAnsi="宋体" w:cs="宋体"/>
          <w:b/>
          <w:bCs/>
          <w:color w:val="000000"/>
          <w:kern w:val="0"/>
          <w:sz w:val="24"/>
          <w:highlight w:val="none"/>
          <w:lang w:eastAsia="zh-CN"/>
        </w:rPr>
        <w:t>（一）入围</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由合规科、工程科、预算科组建评标小组，</w:t>
      </w:r>
      <w:r>
        <w:rPr>
          <w:rFonts w:hint="eastAsia" w:ascii="宋体" w:hAnsi="宋体" w:cs="宋体"/>
          <w:color w:val="000000"/>
          <w:kern w:val="0"/>
          <w:sz w:val="24"/>
          <w:highlight w:val="none"/>
        </w:rPr>
        <w:t>负责本次合格供应商资格评审的具体工作。</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2.评审以基本资格要求和专项资格要求（业绩、生产能力）等为主要指标，综合考虑企业生产管理状况、合同执行情况以及售后服务等因素进行评价审查。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3.报名供应商按照合格制的原则进行评审。</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4.评价审查的最终结果</w:t>
      </w:r>
      <w:r>
        <w:rPr>
          <w:rFonts w:hint="eastAsia" w:ascii="宋体" w:hAnsi="宋体" w:cs="宋体"/>
          <w:color w:val="000000"/>
          <w:kern w:val="0"/>
          <w:sz w:val="24"/>
          <w:highlight w:val="none"/>
          <w:lang w:eastAsia="zh-CN"/>
        </w:rPr>
        <w:t>入围本项目合格供应商</w:t>
      </w:r>
      <w:r>
        <w:rPr>
          <w:rFonts w:hint="eastAsia" w:ascii="宋体" w:hAnsi="宋体" w:cs="宋体"/>
          <w:color w:val="000000"/>
          <w:kern w:val="0"/>
          <w:sz w:val="24"/>
          <w:highlight w:val="none"/>
        </w:rPr>
        <w:t>。</w:t>
      </w:r>
    </w:p>
    <w:p>
      <w:pPr>
        <w:pStyle w:val="2"/>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rPr>
      </w:pPr>
      <w:r>
        <w:rPr>
          <w:rFonts w:hint="eastAsia" w:ascii="宋体" w:hAnsi="宋体" w:eastAsia="宋体" w:cs="宋体"/>
          <w:color w:val="000000"/>
          <w:kern w:val="0"/>
          <w:sz w:val="24"/>
          <w:szCs w:val="24"/>
          <w:highlight w:val="none"/>
          <w:lang w:val="en-US" w:eastAsia="zh-CN" w:bidi="ar-SA"/>
        </w:rPr>
        <w:t>5.比选活动受发包方纪检监察部门的监督。</w:t>
      </w:r>
    </w:p>
    <w:p>
      <w:pPr>
        <w:pStyle w:val="38"/>
        <w:ind w:firstLine="462" w:firstLineChars="200"/>
        <w:rPr>
          <w:rFonts w:hint="eastAsia" w:hAnsi="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（二）</w:t>
      </w:r>
      <w:r>
        <w:rPr>
          <w:rFonts w:hint="eastAsia" w:hAnsi="宋体" w:cs="宋体"/>
          <w:b/>
          <w:bCs/>
          <w:color w:val="000000"/>
          <w:kern w:val="0"/>
          <w:sz w:val="24"/>
          <w:szCs w:val="24"/>
          <w:highlight w:val="none"/>
          <w:lang w:val="en-US" w:eastAsia="zh-CN" w:bidi="ar-SA"/>
        </w:rPr>
        <w:t>二次报价、竞争性磋商</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根据项目具体情况</w:t>
      </w:r>
      <w:r>
        <w:rPr>
          <w:rFonts w:hint="eastAsia" w:ascii="宋体" w:hAnsi="宋体" w:cs="宋体"/>
          <w:color w:val="000000"/>
          <w:kern w:val="0"/>
          <w:sz w:val="24"/>
          <w:szCs w:val="24"/>
          <w:highlight w:val="none"/>
          <w:lang w:val="en-US" w:eastAsia="zh-CN" w:bidi="ar-SA"/>
        </w:rPr>
        <w:t>，</w:t>
      </w:r>
      <w:r>
        <w:rPr>
          <w:rFonts w:hint="eastAsia" w:ascii="宋体" w:hAnsi="宋体" w:eastAsia="宋体" w:cs="宋体"/>
          <w:color w:val="000000"/>
          <w:kern w:val="0"/>
          <w:sz w:val="24"/>
          <w:szCs w:val="24"/>
          <w:highlight w:val="none"/>
          <w:lang w:val="en-US" w:eastAsia="zh-CN" w:bidi="ar-SA"/>
        </w:rPr>
        <w:t>对已入围的合格供应商进行二次报价或竞争性磋商等后续工作，确定最终中选单位。</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Style w:val="36"/>
          <w:rFonts w:hint="eastAsia" w:ascii="宋体" w:cs="宋体"/>
          <w:b w:val="0"/>
          <w:bCs w:val="0"/>
          <w:color w:val="auto"/>
          <w:kern w:val="0"/>
          <w:sz w:val="24"/>
          <w:u w:val="none"/>
          <w:lang w:val="en-US" w:eastAsia="zh-CN"/>
        </w:rPr>
      </w:pPr>
      <w:r>
        <w:rPr>
          <w:rFonts w:hint="eastAsia" w:ascii="宋体" w:hAnsi="宋体" w:eastAsia="宋体" w:cs="宋体"/>
          <w:color w:val="000000"/>
          <w:kern w:val="0"/>
          <w:sz w:val="24"/>
          <w:szCs w:val="24"/>
          <w:highlight w:val="none"/>
          <w:lang w:val="en-US" w:eastAsia="zh-CN" w:bidi="ar-SA"/>
        </w:rPr>
        <w:t>二次报价为电话通知，</w:t>
      </w:r>
      <w:r>
        <w:rPr>
          <w:rFonts w:hint="eastAsia" w:ascii="宋体" w:hAnsi="宋体" w:cs="宋体"/>
          <w:color w:val="000000"/>
          <w:kern w:val="0"/>
          <w:sz w:val="24"/>
          <w:szCs w:val="24"/>
          <w:highlight w:val="none"/>
          <w:lang w:val="en-US" w:eastAsia="zh-CN" w:bidi="ar-SA"/>
        </w:rPr>
        <w:t>响应单位需于通知当天，将</w:t>
      </w:r>
      <w:r>
        <w:rPr>
          <w:b w:val="0"/>
          <w:bCs w:val="0"/>
          <w:color w:val="auto"/>
        </w:rPr>
        <w:fldChar w:fldCharType="begin"/>
      </w:r>
      <w:r>
        <w:rPr>
          <w:b w:val="0"/>
          <w:bCs w:val="0"/>
          <w:color w:val="auto"/>
        </w:rPr>
        <w:instrText xml:space="preserve"> HYPERLINK "mailto:根据上级部门疫情防控需要，本次投标采用网络投标方式，投标人将盖有公章的电子版投标文件发送至邮箱zctoubiao8655@126.com" </w:instrText>
      </w:r>
      <w:r>
        <w:rPr>
          <w:b w:val="0"/>
          <w:bCs w:val="0"/>
          <w:color w:val="auto"/>
        </w:rPr>
        <w:fldChar w:fldCharType="separate"/>
      </w:r>
      <w:r>
        <w:rPr>
          <w:rStyle w:val="36"/>
          <w:rFonts w:hint="eastAsia" w:ascii="宋体" w:cs="宋体"/>
          <w:b w:val="0"/>
          <w:bCs w:val="0"/>
          <w:color w:val="auto"/>
          <w:kern w:val="0"/>
          <w:sz w:val="24"/>
          <w:u w:val="none"/>
          <w:lang w:eastAsia="zh-CN"/>
        </w:rPr>
        <w:t>报价单或差异表等相关资料</w:t>
      </w:r>
      <w:r>
        <w:rPr>
          <w:rStyle w:val="36"/>
          <w:rFonts w:hint="eastAsia" w:ascii="宋体" w:cs="宋体"/>
          <w:b w:val="0"/>
          <w:bCs w:val="0"/>
          <w:color w:val="auto"/>
          <w:kern w:val="0"/>
          <w:sz w:val="24"/>
          <w:u w:val="none"/>
        </w:rPr>
        <w:t>发送至邮箱</w:t>
      </w:r>
      <w:r>
        <w:rPr>
          <w:rStyle w:val="36"/>
          <w:rFonts w:hint="eastAsia" w:ascii="宋体" w:cs="宋体"/>
          <w:b w:val="0"/>
          <w:bCs w:val="0"/>
          <w:color w:val="auto"/>
          <w:kern w:val="0"/>
          <w:sz w:val="24"/>
        </w:rPr>
        <w:fldChar w:fldCharType="end"/>
      </w:r>
      <w:r>
        <w:rPr>
          <w:rStyle w:val="36"/>
          <w:rFonts w:hint="eastAsia" w:ascii="宋体" w:cs="宋体"/>
          <w:b w:val="0"/>
          <w:bCs w:val="0"/>
          <w:color w:val="auto"/>
          <w:kern w:val="0"/>
          <w:sz w:val="24"/>
          <w:lang w:val="en-US" w:eastAsia="zh-CN"/>
        </w:rPr>
        <w:t>grchhgk@163.com</w:t>
      </w:r>
      <w:r>
        <w:rPr>
          <w:rStyle w:val="36"/>
          <w:rFonts w:hint="eastAsia" w:ascii="宋体" w:cs="宋体"/>
          <w:b w:val="0"/>
          <w:bCs w:val="0"/>
          <w:color w:val="auto"/>
          <w:kern w:val="0"/>
          <w:sz w:val="24"/>
          <w:u w:val="none"/>
          <w:lang w:val="en-US" w:eastAsia="zh-CN"/>
        </w:rPr>
        <w:t>，即视为有效响应。</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szCs w:val="24"/>
          <w:highlight w:val="none"/>
          <w:lang w:val="en-US" w:eastAsia="zh-CN" w:bidi="ar-SA"/>
        </w:rPr>
      </w:pPr>
      <w:r>
        <w:rPr>
          <w:rStyle w:val="36"/>
          <w:rFonts w:hint="eastAsia" w:ascii="宋体" w:cs="宋体"/>
          <w:b w:val="0"/>
          <w:bCs w:val="0"/>
          <w:color w:val="auto"/>
          <w:kern w:val="0"/>
          <w:sz w:val="24"/>
          <w:u w:val="none"/>
          <w:lang w:val="en-US" w:eastAsia="zh-CN"/>
        </w:rPr>
        <w:t>竞争性磋商为现场磋商，如涉及报价，响应单位需于磋商当天，</w:t>
      </w:r>
      <w:r>
        <w:rPr>
          <w:rFonts w:hint="eastAsia" w:ascii="宋体" w:hAnsi="宋体" w:cs="宋体"/>
          <w:color w:val="000000"/>
          <w:kern w:val="0"/>
          <w:sz w:val="24"/>
          <w:szCs w:val="24"/>
          <w:highlight w:val="none"/>
          <w:lang w:val="en-US" w:eastAsia="zh-CN" w:bidi="ar-SA"/>
        </w:rPr>
        <w:t>将</w:t>
      </w:r>
      <w:r>
        <w:rPr>
          <w:b w:val="0"/>
          <w:bCs w:val="0"/>
          <w:color w:val="auto"/>
        </w:rPr>
        <w:fldChar w:fldCharType="begin"/>
      </w:r>
      <w:r>
        <w:rPr>
          <w:b w:val="0"/>
          <w:bCs w:val="0"/>
          <w:color w:val="auto"/>
        </w:rPr>
        <w:instrText xml:space="preserve"> HYPERLINK "mailto:根据上级部门疫情防控需要，本次投标采用网络投标方式，投标人将盖有公章的电子版投标文件发送至邮箱zctoubiao8655@126.com" </w:instrText>
      </w:r>
      <w:r>
        <w:rPr>
          <w:b w:val="0"/>
          <w:bCs w:val="0"/>
          <w:color w:val="auto"/>
        </w:rPr>
        <w:fldChar w:fldCharType="separate"/>
      </w:r>
      <w:r>
        <w:rPr>
          <w:rStyle w:val="36"/>
          <w:rFonts w:hint="eastAsia" w:ascii="宋体" w:cs="宋体"/>
          <w:b w:val="0"/>
          <w:bCs w:val="0"/>
          <w:color w:val="auto"/>
          <w:kern w:val="0"/>
          <w:sz w:val="24"/>
          <w:u w:val="none"/>
          <w:lang w:eastAsia="zh-CN"/>
        </w:rPr>
        <w:t>报价单等相关资料</w:t>
      </w:r>
      <w:r>
        <w:rPr>
          <w:rStyle w:val="36"/>
          <w:rFonts w:hint="eastAsia" w:ascii="宋体" w:cs="宋体"/>
          <w:b w:val="0"/>
          <w:bCs w:val="0"/>
          <w:color w:val="auto"/>
          <w:kern w:val="0"/>
          <w:sz w:val="24"/>
          <w:u w:val="none"/>
        </w:rPr>
        <w:t>发送至邮箱</w:t>
      </w:r>
      <w:r>
        <w:rPr>
          <w:rStyle w:val="36"/>
          <w:rFonts w:hint="eastAsia" w:ascii="宋体" w:cs="宋体"/>
          <w:b w:val="0"/>
          <w:bCs w:val="0"/>
          <w:color w:val="auto"/>
          <w:kern w:val="0"/>
          <w:sz w:val="24"/>
        </w:rPr>
        <w:fldChar w:fldCharType="end"/>
      </w:r>
      <w:r>
        <w:rPr>
          <w:rStyle w:val="36"/>
          <w:rFonts w:hint="eastAsia" w:ascii="宋体" w:cs="宋体"/>
          <w:b w:val="0"/>
          <w:bCs w:val="0"/>
          <w:color w:val="auto"/>
          <w:kern w:val="0"/>
          <w:sz w:val="24"/>
          <w:lang w:val="en-US" w:eastAsia="zh-CN"/>
        </w:rPr>
        <w:t>grchhgk@163.com</w:t>
      </w:r>
      <w:r>
        <w:rPr>
          <w:rStyle w:val="36"/>
          <w:rFonts w:hint="eastAsia" w:ascii="宋体" w:cs="宋体"/>
          <w:b w:val="0"/>
          <w:bCs w:val="0"/>
          <w:color w:val="auto"/>
          <w:kern w:val="0"/>
          <w:sz w:val="24"/>
          <w:u w:val="none"/>
          <w:lang w:val="en-US" w:eastAsia="zh-CN"/>
        </w:rPr>
        <w:t>，即视为有效响应；因自身原因无法参加者，以最后一次响应报价为最终报价。</w:t>
      </w:r>
      <w:r>
        <w:rPr>
          <w:rFonts w:hint="eastAsia" w:ascii="宋体" w:hAnsi="宋体" w:cs="宋体"/>
          <w:color w:val="000000"/>
          <w:kern w:val="0"/>
          <w:sz w:val="24"/>
          <w:szCs w:val="24"/>
          <w:highlight w:val="none"/>
          <w:lang w:val="en-US" w:eastAsia="zh-CN" w:bidi="ar-SA"/>
        </w:rPr>
        <w:t>磋商</w:t>
      </w:r>
      <w:r>
        <w:rPr>
          <w:rFonts w:hint="eastAsia" w:ascii="宋体" w:hAnsi="宋体" w:eastAsia="宋体" w:cs="宋体"/>
          <w:color w:val="000000"/>
          <w:kern w:val="0"/>
          <w:sz w:val="24"/>
          <w:szCs w:val="24"/>
          <w:highlight w:val="none"/>
          <w:lang w:val="en-US" w:eastAsia="zh-CN" w:bidi="ar-SA"/>
        </w:rPr>
        <w:t>活动受发包方纪检监察部门的监督。</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二</w:t>
      </w: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eastAsia="zh-CN"/>
        </w:rPr>
        <w:t>响应</w:t>
      </w:r>
      <w:r>
        <w:rPr>
          <w:rFonts w:hint="eastAsia" w:ascii="宋体" w:hAnsi="宋体" w:cs="宋体"/>
          <w:b/>
          <w:bCs/>
          <w:color w:val="000000"/>
          <w:kern w:val="0"/>
          <w:sz w:val="24"/>
          <w:highlight w:val="none"/>
        </w:rPr>
        <w:t>文件</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提交的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文件必须包括但不限于以下内容（要求按以下顺序</w:t>
      </w:r>
      <w:r>
        <w:rPr>
          <w:rFonts w:hint="eastAsia" w:ascii="宋体" w:hAnsi="宋体" w:cs="宋体"/>
          <w:color w:val="000000"/>
          <w:kern w:val="0"/>
          <w:sz w:val="24"/>
          <w:highlight w:val="none"/>
          <w:lang w:eastAsia="zh-CN"/>
        </w:rPr>
        <w:t>逐页</w:t>
      </w:r>
      <w:r>
        <w:rPr>
          <w:rFonts w:hint="eastAsia" w:ascii="宋体" w:hAnsi="宋体" w:cs="宋体"/>
          <w:color w:val="000000"/>
          <w:kern w:val="0"/>
          <w:sz w:val="24"/>
          <w:highlight w:val="none"/>
        </w:rPr>
        <w:t>加盖公章）。应保证提供评审资料的真实性，并承担相应的法律责任，一旦查实提供资料弄虚作假等情况，将直接取消</w:t>
      </w:r>
      <w:r>
        <w:rPr>
          <w:rFonts w:hint="eastAsia" w:ascii="宋体" w:hAnsi="宋体" w:cs="宋体"/>
          <w:color w:val="000000"/>
          <w:kern w:val="0"/>
          <w:sz w:val="24"/>
          <w:highlight w:val="none"/>
          <w:lang w:eastAsia="zh-CN"/>
        </w:rPr>
        <w:t>比选</w:t>
      </w:r>
      <w:r>
        <w:rPr>
          <w:rFonts w:hint="eastAsia" w:ascii="宋体" w:hAnsi="宋体" w:cs="宋体"/>
          <w:color w:val="000000"/>
          <w:kern w:val="0"/>
          <w:sz w:val="24"/>
          <w:highlight w:val="none"/>
        </w:rPr>
        <w:t>资格。</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（一）基本情况</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响应函</w:t>
      </w:r>
      <w:r>
        <w:rPr>
          <w:rFonts w:hint="eastAsia" w:ascii="宋体" w:hAnsi="宋体" w:cs="宋体"/>
          <w:color w:val="000000"/>
          <w:kern w:val="0"/>
          <w:sz w:val="24"/>
          <w:highlight w:val="none"/>
        </w:rPr>
        <w:t>（格式见附件1）；</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2.法定代表人授权书（格式见附件2）；</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单位登记表》（格式见附件3）；</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rPr>
        <w:t>4.加盖年检章的营业执照副本复印件</w:t>
      </w:r>
      <w:r>
        <w:rPr>
          <w:rFonts w:hint="eastAsia" w:ascii="宋体" w:hAnsi="宋体" w:cs="宋体"/>
          <w:color w:val="000000"/>
          <w:kern w:val="0"/>
          <w:sz w:val="24"/>
          <w:highlight w:val="none"/>
          <w:lang w:eastAsia="zh-CN"/>
        </w:rPr>
        <w:t>；</w:t>
      </w:r>
    </w:p>
    <w:p>
      <w:pPr>
        <w:pStyle w:val="2"/>
        <w:keepNext w:val="0"/>
        <w:keepLines w:val="0"/>
        <w:pageBreakBefore w:val="0"/>
        <w:kinsoku/>
        <w:wordWrap/>
        <w:overflowPunct/>
        <w:topLinePunct w:val="0"/>
        <w:autoSpaceDE/>
        <w:autoSpaceDN/>
        <w:bidi w:val="0"/>
        <w:adjustRightInd/>
        <w:snapToGrid/>
        <w:spacing w:line="560" w:lineRule="exact"/>
        <w:ind w:firstLine="462" w:firstLineChars="200"/>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信用证明文件</w:t>
      </w:r>
      <w:r>
        <w:rPr>
          <w:rFonts w:hint="eastAsia" w:ascii="宋体" w:hAnsi="宋体" w:cs="宋体"/>
          <w:color w:val="000000"/>
          <w:kern w:val="0"/>
          <w:sz w:val="24"/>
          <w:highlight w:val="none"/>
          <w:lang w:eastAsia="zh-CN"/>
        </w:rPr>
        <w:t>（递交截止时间当天或前一天信用中国截图）</w:t>
      </w:r>
      <w:r>
        <w:rPr>
          <w:rFonts w:hint="eastAsia" w:ascii="宋体" w:hAnsi="宋体" w:cs="宋体"/>
          <w:color w:val="000000"/>
          <w:kern w:val="0"/>
          <w:sz w:val="24"/>
          <w:highlight w:val="none"/>
        </w:rPr>
        <w:t>；</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.目前和近3年有无涉及重大经济诉讼承诺文件；</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（二）专项资格文件</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1.与</w:t>
      </w:r>
      <w:r>
        <w:rPr>
          <w:rFonts w:hint="eastAsia" w:ascii="宋体" w:hAnsi="宋体" w:cs="宋体"/>
          <w:color w:val="000000"/>
          <w:kern w:val="0"/>
          <w:sz w:val="24"/>
          <w:highlight w:val="none"/>
          <w:lang w:eastAsia="zh-CN"/>
        </w:rPr>
        <w:t>要求</w:t>
      </w:r>
      <w:r>
        <w:rPr>
          <w:rFonts w:hint="eastAsia" w:ascii="宋体" w:hAnsi="宋体" w:cs="宋体"/>
          <w:color w:val="000000"/>
          <w:kern w:val="0"/>
          <w:sz w:val="24"/>
          <w:highlight w:val="none"/>
        </w:rPr>
        <w:t>设备/服务相同或类似的业绩汇总及用户单位（单位名称）、联系方式（格式见附件4）</w:t>
      </w:r>
      <w:r>
        <w:rPr>
          <w:rFonts w:hint="eastAsia" w:ascii="宋体" w:hAnsi="宋体" w:cs="宋体"/>
          <w:color w:val="000000"/>
          <w:kern w:val="0"/>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rPr>
        <w:t>2</w:t>
      </w:r>
      <w:r>
        <w:rPr>
          <w:rFonts w:hint="eastAsia" w:ascii="宋体" w:hAnsi="宋体" w:cs="宋体"/>
          <w:color w:val="000000"/>
          <w:kern w:val="0"/>
          <w:sz w:val="24"/>
          <w:highlight w:val="none"/>
          <w:lang w:val="en-US" w:eastAsia="zh-CN"/>
        </w:rPr>
        <w:t>.</w:t>
      </w:r>
      <w:r>
        <w:rPr>
          <w:rFonts w:hint="eastAsia" w:ascii="宋体" w:hAnsi="宋体" w:cs="宋体"/>
          <w:color w:val="000000"/>
          <w:kern w:val="0"/>
          <w:sz w:val="24"/>
          <w:highlight w:val="none"/>
        </w:rPr>
        <w:t>相关业绩证明文件（业绩必须提供合同或用户证明，用户证明需加盖用户公章），其中合同包括合同首页、设备清单页或主要参数页、盖章签字页；用户证明中需包含供货数量、设备/产品规格、材质、交货时间、用户方有效的联系方式等</w:t>
      </w:r>
      <w:r>
        <w:rPr>
          <w:rFonts w:hint="eastAsia" w:ascii="宋体" w:hAnsi="宋体" w:cs="宋体"/>
          <w:color w:val="000000"/>
          <w:kern w:val="0"/>
          <w:sz w:val="24"/>
          <w:highlight w:val="none"/>
          <w:lang w:eastAsia="zh-CN"/>
        </w:rPr>
        <w:t>；</w:t>
      </w:r>
    </w:p>
    <w:p>
      <w:pPr>
        <w:pStyle w:val="2"/>
        <w:keepNext w:val="0"/>
        <w:keepLines w:val="0"/>
        <w:pageBreakBefore w:val="0"/>
        <w:kinsoku/>
        <w:wordWrap/>
        <w:overflowPunct/>
        <w:topLinePunct w:val="0"/>
        <w:autoSpaceDE/>
        <w:autoSpaceDN/>
        <w:bidi w:val="0"/>
        <w:adjustRightInd/>
        <w:snapToGrid/>
        <w:spacing w:line="560" w:lineRule="exact"/>
        <w:ind w:firstLine="462" w:firstLineChars="200"/>
        <w:textAlignment w:val="auto"/>
        <w:rPr>
          <w:rFonts w:hint="eastAsia" w:ascii="宋体" w:hAnsi="宋体" w:cs="宋体"/>
          <w:color w:val="000000"/>
          <w:kern w:val="0"/>
          <w:sz w:val="24"/>
          <w:highlight w:val="none"/>
          <w:lang w:eastAsia="zh-CN"/>
        </w:rPr>
      </w:pPr>
      <w:r>
        <w:rPr>
          <w:rFonts w:hint="eastAsia" w:ascii="宋体" w:hAnsi="宋体" w:cs="宋体"/>
          <w:color w:val="000000"/>
          <w:kern w:val="0"/>
          <w:sz w:val="24"/>
          <w:highlight w:val="none"/>
          <w:lang w:val="en-US" w:eastAsia="zh-CN"/>
        </w:rPr>
        <w:t>3.相关</w:t>
      </w:r>
      <w:r>
        <w:rPr>
          <w:rFonts w:hint="eastAsia" w:ascii="宋体" w:hAnsi="宋体" w:cs="宋体"/>
          <w:color w:val="000000"/>
          <w:kern w:val="0"/>
          <w:sz w:val="24"/>
          <w:highlight w:val="none"/>
        </w:rPr>
        <w:t>资质证书复印件</w:t>
      </w:r>
      <w:r>
        <w:rPr>
          <w:rFonts w:hint="eastAsia" w:ascii="宋体" w:hAnsi="宋体" w:cs="宋体"/>
          <w:color w:val="000000"/>
          <w:kern w:val="0"/>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4.清单报价；</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5、其他响应要求</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（三）编制要求</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val="en-US" w:eastAsia="zh-CN"/>
        </w:rPr>
      </w:pP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人的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文件须提供电子版文件（.pdf格式）一份</w:t>
      </w:r>
      <w:r>
        <w:rPr>
          <w:rFonts w:hint="eastAsia" w:ascii="宋体" w:hAnsi="宋体" w:cs="宋体"/>
          <w:color w:val="000000"/>
          <w:kern w:val="0"/>
          <w:sz w:val="24"/>
          <w:highlight w:val="none"/>
          <w:lang w:eastAsia="zh-CN"/>
        </w:rPr>
        <w:t>，清单报价（</w:t>
      </w:r>
      <w:r>
        <w:rPr>
          <w:rFonts w:hint="eastAsia" w:ascii="宋体" w:hAnsi="宋体" w:cs="宋体"/>
          <w:color w:val="000000"/>
          <w:kern w:val="0"/>
          <w:sz w:val="24"/>
          <w:highlight w:val="none"/>
          <w:lang w:val="en-US" w:eastAsia="zh-CN"/>
        </w:rPr>
        <w:t>EXCEL）可编辑版一份</w:t>
      </w:r>
      <w:r>
        <w:rPr>
          <w:rFonts w:hint="eastAsia" w:ascii="宋体" w:hAnsi="宋体" w:cs="宋体"/>
          <w:color w:val="000000"/>
          <w:kern w:val="0"/>
          <w:sz w:val="24"/>
          <w:highlight w:val="none"/>
        </w:rPr>
        <w:t>；</w:t>
      </w:r>
      <w:r>
        <w:rPr>
          <w:rFonts w:hint="eastAsia" w:ascii="宋体" w:hAnsi="宋体" w:cs="宋体"/>
          <w:b/>
          <w:bCs/>
          <w:color w:val="000000"/>
          <w:kern w:val="0"/>
          <w:sz w:val="24"/>
          <w:highlight w:val="none"/>
          <w:lang w:val="en-US" w:eastAsia="zh-CN"/>
        </w:rPr>
        <w:t>主题为单</w:t>
      </w:r>
      <w:r>
        <w:rPr>
          <w:rFonts w:hint="eastAsia" w:ascii="宋体" w:hAnsi="宋体" w:cs="宋体"/>
          <w:b/>
          <w:bCs/>
          <w:color w:val="000000"/>
          <w:kern w:val="0"/>
          <w:sz w:val="24"/>
          <w:highlight w:val="none"/>
          <w:lang w:eastAsia="zh-CN"/>
        </w:rPr>
        <w:t>位名称</w:t>
      </w:r>
      <w:r>
        <w:rPr>
          <w:rFonts w:hint="eastAsia" w:ascii="宋体" w:hAnsi="宋体" w:cs="宋体"/>
          <w:b/>
          <w:bCs/>
          <w:color w:val="000000"/>
          <w:kern w:val="0"/>
          <w:sz w:val="24"/>
          <w:highlight w:val="none"/>
          <w:lang w:val="en-US" w:eastAsia="zh-CN"/>
        </w:rPr>
        <w:t>+项目联系人+联系电话，正文写明参选的具体项目，</w:t>
      </w:r>
      <w:r>
        <w:rPr>
          <w:rFonts w:hint="eastAsia" w:ascii="宋体" w:hAnsi="宋体" w:cs="宋体"/>
          <w:b/>
          <w:bCs/>
          <w:color w:val="000000"/>
          <w:kern w:val="0"/>
          <w:sz w:val="24"/>
          <w:highlight w:val="none"/>
          <w:lang w:eastAsia="zh-CN"/>
        </w:rPr>
        <w:t>附件为一个压缩包，压缩包名称为单位名称</w:t>
      </w:r>
      <w:r>
        <w:rPr>
          <w:rFonts w:hint="eastAsia" w:ascii="宋体" w:hAnsi="宋体" w:cs="宋体"/>
          <w:b/>
          <w:bCs/>
          <w:color w:val="000000"/>
          <w:kern w:val="0"/>
          <w:sz w:val="24"/>
          <w:highlight w:val="none"/>
          <w:lang w:val="en-US" w:eastAsia="zh-CN"/>
        </w:rPr>
        <w:t>+项目联系人+联系电话。</w:t>
      </w:r>
    </w:p>
    <w:p>
      <w:pPr>
        <w:keepNext w:val="0"/>
        <w:keepLines w:val="0"/>
        <w:pageBreakBefore w:val="0"/>
        <w:widowControl/>
        <w:kinsoku/>
        <w:wordWrap/>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highlight w:val="none"/>
          <w:lang w:eastAsia="zh-CN"/>
        </w:rPr>
      </w:pPr>
      <w:r>
        <w:rPr>
          <w:rFonts w:hint="eastAsia" w:ascii="宋体" w:cs="宋体"/>
          <w:b/>
          <w:bCs/>
          <w:kern w:val="0"/>
          <w:sz w:val="24"/>
          <w:highlight w:val="none"/>
          <w:lang w:eastAsia="zh-CN"/>
        </w:rPr>
        <w:t>三、中选结果</w:t>
      </w:r>
    </w:p>
    <w:p>
      <w:pPr>
        <w:keepNext w:val="0"/>
        <w:keepLines w:val="0"/>
        <w:pageBreakBefore w:val="0"/>
        <w:widowControl/>
        <w:kinsoku/>
        <w:wordWrap/>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highlight w:val="none"/>
          <w:lang w:val="en-US" w:eastAsia="zh-CN"/>
        </w:rPr>
      </w:pPr>
      <w:r>
        <w:rPr>
          <w:rFonts w:hint="eastAsia" w:ascii="宋体" w:cs="宋体"/>
          <w:kern w:val="0"/>
          <w:sz w:val="24"/>
          <w:highlight w:val="none"/>
        </w:rPr>
        <w:t>1</w:t>
      </w:r>
      <w:r>
        <w:rPr>
          <w:rFonts w:hint="eastAsia" w:ascii="宋体" w:cs="宋体"/>
          <w:kern w:val="0"/>
          <w:sz w:val="24"/>
          <w:highlight w:val="none"/>
          <w:lang w:val="en-US" w:eastAsia="zh-CN"/>
        </w:rPr>
        <w:t>.</w:t>
      </w:r>
      <w:r>
        <w:rPr>
          <w:rFonts w:hint="eastAsia" w:ascii="宋体" w:cs="宋体"/>
          <w:kern w:val="0"/>
          <w:sz w:val="24"/>
          <w:highlight w:val="none"/>
          <w:lang w:eastAsia="zh-CN"/>
        </w:rPr>
        <w:t>中选结果在</w:t>
      </w:r>
      <w:r>
        <w:rPr>
          <w:rFonts w:hint="eastAsia" w:ascii="宋体" w:cs="宋体"/>
          <w:kern w:val="0"/>
          <w:sz w:val="24"/>
          <w:highlight w:val="none"/>
        </w:rPr>
        <w:t>石家庄市供热管理集团有限公司官网</w:t>
      </w:r>
      <w:r>
        <w:rPr>
          <w:rFonts w:hint="eastAsia"/>
          <w:highlight w:val="none"/>
        </w:rPr>
        <w:t>https://www.sjzsgrjt.com/</w:t>
      </w:r>
      <w:r>
        <w:rPr>
          <w:rFonts w:hint="eastAsia" w:ascii="宋体" w:cs="宋体"/>
          <w:kern w:val="0"/>
          <w:sz w:val="24"/>
          <w:highlight w:val="none"/>
        </w:rPr>
        <w:t>上发布。</w:t>
      </w:r>
      <w:r>
        <w:rPr>
          <w:rFonts w:hint="eastAsia" w:ascii="宋体" w:cs="宋体"/>
          <w:kern w:val="0"/>
          <w:sz w:val="24"/>
          <w:highlight w:val="none"/>
          <w:lang w:eastAsia="zh-CN"/>
        </w:rPr>
        <w:t>发布时间为响应文件递交截止后</w:t>
      </w:r>
      <w:r>
        <w:rPr>
          <w:rFonts w:hint="eastAsia" w:ascii="宋体" w:cs="宋体"/>
          <w:kern w:val="0"/>
          <w:sz w:val="24"/>
          <w:highlight w:val="none"/>
          <w:lang w:val="en-US" w:eastAsia="zh-CN"/>
        </w:rPr>
        <w:t>14个工作日内。</w:t>
      </w:r>
    </w:p>
    <w:p>
      <w:pPr>
        <w:keepNext w:val="0"/>
        <w:keepLines w:val="0"/>
        <w:pageBreakBefore w:val="0"/>
        <w:kinsoku/>
        <w:wordWrap/>
        <w:overflowPunct/>
        <w:topLinePunct w:val="0"/>
        <w:autoSpaceDE/>
        <w:autoSpaceDN/>
        <w:bidi w:val="0"/>
        <w:adjustRightInd/>
        <w:snapToGrid/>
        <w:spacing w:line="560" w:lineRule="exact"/>
        <w:ind w:firstLine="462" w:firstLineChars="200"/>
        <w:textAlignment w:val="auto"/>
        <w:rPr>
          <w:rFonts w:hint="eastAsia" w:ascii="宋体" w:cs="宋体"/>
          <w:kern w:val="0"/>
          <w:sz w:val="24"/>
          <w:highlight w:val="none"/>
        </w:rPr>
      </w:pPr>
      <w:r>
        <w:rPr>
          <w:rFonts w:hint="eastAsia" w:ascii="宋体" w:cs="宋体"/>
          <w:kern w:val="0"/>
          <w:sz w:val="24"/>
          <w:highlight w:val="none"/>
          <w:lang w:val="en-US" w:eastAsia="zh-CN"/>
        </w:rPr>
        <w:t>2.</w:t>
      </w:r>
      <w:r>
        <w:rPr>
          <w:rFonts w:hint="eastAsia" w:ascii="宋体" w:cs="宋体"/>
          <w:kern w:val="0"/>
          <w:sz w:val="24"/>
          <w:highlight w:val="none"/>
        </w:rPr>
        <w:t>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16541"/>
      <w:bookmarkStart w:id="27" w:name="_Toc29818"/>
      <w:bookmarkStart w:id="28" w:name="_Toc24327"/>
      <w:bookmarkStart w:id="29" w:name="_Toc2493"/>
      <w:bookmarkStart w:id="30" w:name="_Toc20463"/>
      <w:bookmarkStart w:id="31" w:name="_Toc7450"/>
      <w:bookmarkStart w:id="32" w:name="_Toc12747"/>
      <w:bookmarkStart w:id="33" w:name="_Toc26971"/>
      <w:bookmarkStart w:id="34" w:name="_Toc4460"/>
    </w:p>
    <w:p>
      <w:pPr>
        <w:pStyle w:val="2"/>
        <w:keepNext w:val="0"/>
        <w:keepLines w:val="0"/>
        <w:pageBreakBefore w:val="0"/>
        <w:kinsoku/>
        <w:wordWrap/>
        <w:overflowPunct/>
        <w:topLinePunct w:val="0"/>
        <w:autoSpaceDE/>
        <w:autoSpaceDN/>
        <w:bidi w:val="0"/>
        <w:adjustRightInd/>
        <w:snapToGrid/>
        <w:spacing w:line="560" w:lineRule="exact"/>
        <w:ind w:firstLine="462" w:firstLineChars="200"/>
        <w:textAlignment w:val="auto"/>
        <w:rPr>
          <w:rFonts w:hint="eastAsia" w:ascii="宋体" w:hAnsi="Calibri" w:eastAsia="宋体" w:cs="宋体"/>
          <w:b/>
          <w:bCs/>
          <w:kern w:val="0"/>
          <w:sz w:val="24"/>
          <w:szCs w:val="24"/>
          <w:highlight w:val="none"/>
          <w:lang w:val="en-US" w:eastAsia="zh-CN" w:bidi="ar-SA"/>
        </w:rPr>
      </w:pPr>
      <w:r>
        <w:rPr>
          <w:rFonts w:hint="eastAsia" w:ascii="宋体" w:hAnsi="Calibri" w:eastAsia="宋体" w:cs="宋体"/>
          <w:b/>
          <w:bCs/>
          <w:kern w:val="0"/>
          <w:sz w:val="24"/>
          <w:szCs w:val="24"/>
          <w:highlight w:val="none"/>
          <w:lang w:val="en-US" w:eastAsia="zh-CN" w:bidi="ar-SA"/>
        </w:rPr>
        <w:t>四、其他</w:t>
      </w:r>
      <w:bookmarkEnd w:id="26"/>
      <w:bookmarkEnd w:id="27"/>
      <w:bookmarkEnd w:id="28"/>
      <w:bookmarkEnd w:id="29"/>
      <w:bookmarkEnd w:id="30"/>
      <w:bookmarkEnd w:id="31"/>
      <w:bookmarkEnd w:id="32"/>
      <w:bookmarkEnd w:id="33"/>
      <w:bookmarkEnd w:id="34"/>
    </w:p>
    <w:p>
      <w:pPr>
        <w:pStyle w:val="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w:t>
      </w:r>
      <w:r>
        <w:rPr>
          <w:rFonts w:hint="eastAsia" w:ascii="宋体" w:hAnsi="宋体" w:eastAsia="宋体" w:cs="宋体"/>
          <w:color w:val="000000"/>
          <w:kern w:val="0"/>
          <w:sz w:val="24"/>
          <w:szCs w:val="24"/>
          <w:highlight w:val="none"/>
          <w:lang w:val="en-US" w:eastAsia="zh-CN" w:bidi="ar-SA"/>
        </w:rPr>
        <w:t>发包人发布公告一天内，接受参选人提出的合理疑问</w:t>
      </w:r>
      <w:r>
        <w:rPr>
          <w:rFonts w:hint="eastAsia" w:ascii="宋体" w:hAnsi="宋体" w:cs="宋体"/>
          <w:color w:val="000000"/>
          <w:kern w:val="0"/>
          <w:sz w:val="24"/>
          <w:szCs w:val="24"/>
          <w:highlight w:val="none"/>
          <w:lang w:val="en-US" w:eastAsia="zh-CN" w:bidi="ar-SA"/>
        </w:rPr>
        <w:t>，请以电话形式提出疑问</w:t>
      </w:r>
      <w:r>
        <w:rPr>
          <w:rFonts w:hint="eastAsia" w:ascii="宋体" w:hAnsi="宋体" w:eastAsia="宋体" w:cs="宋体"/>
          <w:color w:val="000000"/>
          <w:kern w:val="0"/>
          <w:sz w:val="24"/>
          <w:szCs w:val="24"/>
          <w:highlight w:val="none"/>
          <w:lang w:val="en-US" w:eastAsia="zh-CN" w:bidi="ar-SA"/>
        </w:rPr>
        <w:t>，</w:t>
      </w:r>
      <w:r>
        <w:rPr>
          <w:rFonts w:hint="eastAsia" w:hAnsi="宋体" w:cs="宋体"/>
          <w:color w:val="000000"/>
          <w:kern w:val="0"/>
          <w:sz w:val="24"/>
          <w:szCs w:val="24"/>
          <w:highlight w:val="none"/>
          <w:lang w:val="en-US" w:eastAsia="zh-CN" w:bidi="ar-SA"/>
        </w:rPr>
        <w:t>如有必要修改</w:t>
      </w:r>
      <w:r>
        <w:rPr>
          <w:rFonts w:hint="eastAsia" w:ascii="宋体" w:hAnsi="宋体" w:eastAsia="宋体" w:cs="宋体"/>
          <w:color w:val="000000"/>
          <w:kern w:val="0"/>
          <w:sz w:val="24"/>
          <w:szCs w:val="24"/>
          <w:highlight w:val="none"/>
          <w:lang w:val="en-US" w:eastAsia="zh-CN" w:bidi="ar-SA"/>
        </w:rPr>
        <w:t>的</w:t>
      </w:r>
      <w:r>
        <w:rPr>
          <w:rFonts w:hint="eastAsia" w:hAnsi="宋体" w:cs="宋体"/>
          <w:color w:val="000000"/>
          <w:kern w:val="0"/>
          <w:sz w:val="24"/>
          <w:szCs w:val="24"/>
          <w:highlight w:val="none"/>
          <w:lang w:val="en-US" w:eastAsia="zh-CN" w:bidi="ar-SA"/>
        </w:rPr>
        <w:t>比选文件</w:t>
      </w:r>
      <w:r>
        <w:rPr>
          <w:rFonts w:hint="eastAsia" w:ascii="宋体" w:hAnsi="宋体" w:eastAsia="宋体" w:cs="宋体"/>
          <w:color w:val="000000"/>
          <w:kern w:val="0"/>
          <w:sz w:val="24"/>
          <w:szCs w:val="24"/>
          <w:highlight w:val="none"/>
          <w:lang w:val="en-US" w:eastAsia="zh-CN" w:bidi="ar-SA"/>
        </w:rPr>
        <w:t>在原路径发布。</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highlight w:val="none"/>
          <w:lang w:val="en-US" w:eastAsia="zh-CN"/>
        </w:rPr>
      </w:pPr>
      <w:r>
        <w:rPr>
          <w:rFonts w:hint="eastAsia" w:ascii="宋体" w:hAnsi="宋体" w:cs="宋体"/>
          <w:color w:val="000000"/>
          <w:kern w:val="0"/>
          <w:sz w:val="24"/>
          <w:szCs w:val="24"/>
          <w:highlight w:val="none"/>
          <w:lang w:val="en-US" w:eastAsia="zh-CN" w:bidi="ar-SA"/>
        </w:rPr>
        <w:t>2.</w:t>
      </w:r>
      <w:r>
        <w:rPr>
          <w:rFonts w:hint="eastAsia" w:ascii="宋体" w:cs="宋体"/>
          <w:sz w:val="24"/>
          <w:highlight w:val="none"/>
        </w:rPr>
        <w:t>响应文件有效期</w:t>
      </w:r>
      <w:r>
        <w:rPr>
          <w:rFonts w:hint="eastAsia" w:ascii="宋体" w:cs="宋体"/>
          <w:sz w:val="24"/>
          <w:highlight w:val="none"/>
          <w:lang w:val="en-US" w:eastAsia="zh-CN"/>
        </w:rPr>
        <w:t>30天内。</w:t>
      </w:r>
    </w:p>
    <w:p>
      <w:pPr>
        <w:pStyle w:val="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highlight w:val="none"/>
          <w:lang w:val="en-US" w:eastAsia="zh-CN"/>
        </w:rPr>
      </w:pPr>
      <w:r>
        <w:rPr>
          <w:rFonts w:hint="eastAsia" w:ascii="宋体" w:cs="宋体"/>
          <w:kern w:val="0"/>
          <w:sz w:val="24"/>
          <w:szCs w:val="24"/>
          <w:highlight w:val="none"/>
          <w:lang w:val="en-US" w:eastAsia="zh-CN"/>
        </w:rPr>
        <w:t>3.响应人</w:t>
      </w:r>
      <w:r>
        <w:rPr>
          <w:rFonts w:hint="eastAsia" w:ascii="Calibri" w:hAnsi="宋体"/>
          <w:sz w:val="24"/>
          <w:szCs w:val="24"/>
          <w:highlight w:val="none"/>
          <w:lang w:eastAsia="zh-CN"/>
        </w:rPr>
        <w:t>准备和参加</w:t>
      </w:r>
      <w:r>
        <w:rPr>
          <w:rFonts w:hint="eastAsia" w:hAnsi="宋体"/>
          <w:sz w:val="24"/>
          <w:szCs w:val="24"/>
          <w:highlight w:val="none"/>
          <w:lang w:eastAsia="zh-CN"/>
        </w:rPr>
        <w:t>比选</w:t>
      </w:r>
      <w:r>
        <w:rPr>
          <w:rFonts w:hint="eastAsia" w:ascii="Calibri" w:hAnsi="宋体"/>
          <w:sz w:val="24"/>
          <w:szCs w:val="24"/>
          <w:highlight w:val="none"/>
          <w:lang w:eastAsia="zh-CN"/>
        </w:rPr>
        <w:t>活动发生的费用自理</w:t>
      </w:r>
      <w:r>
        <w:rPr>
          <w:rFonts w:hint="eastAsia" w:hAnsi="宋体"/>
          <w:sz w:val="24"/>
          <w:szCs w:val="24"/>
          <w:highlight w:val="none"/>
          <w:lang w:eastAsia="zh-CN"/>
        </w:rPr>
        <w:t>。</w:t>
      </w:r>
    </w:p>
    <w:p>
      <w:pPr>
        <w:pStyle w:val="2"/>
        <w:rPr>
          <w:rFonts w:hint="default"/>
          <w:highlight w:val="none"/>
          <w:lang w:val="en-US"/>
        </w:rPr>
      </w:pPr>
    </w:p>
    <w:p>
      <w:pPr>
        <w:spacing w:line="360" w:lineRule="auto"/>
        <w:jc w:val="center"/>
        <w:rPr>
          <w:rFonts w:hint="eastAsia"/>
          <w:b/>
          <w:bCs/>
          <w:sz w:val="32"/>
          <w:szCs w:val="32"/>
          <w:lang w:eastAsia="zh-CN"/>
        </w:rPr>
      </w:pPr>
    </w:p>
    <w:p>
      <w:pPr>
        <w:spacing w:line="360" w:lineRule="auto"/>
        <w:jc w:val="center"/>
        <w:rPr>
          <w:rFonts w:hint="eastAsia"/>
          <w:b/>
          <w:bCs/>
          <w:sz w:val="32"/>
          <w:szCs w:val="32"/>
          <w:lang w:eastAsia="zh-CN"/>
        </w:rPr>
      </w:pPr>
    </w:p>
    <w:p>
      <w:pPr>
        <w:pStyle w:val="2"/>
        <w:rPr>
          <w:rFonts w:hint="eastAsia"/>
          <w:b/>
          <w:bCs/>
          <w:sz w:val="32"/>
          <w:szCs w:val="32"/>
          <w:lang w:eastAsia="zh-CN"/>
        </w:rPr>
      </w:pPr>
    </w:p>
    <w:p>
      <w:pPr>
        <w:rPr>
          <w:rFonts w:hint="eastAsia"/>
          <w:b/>
          <w:bCs/>
          <w:sz w:val="32"/>
          <w:szCs w:val="32"/>
          <w:lang w:eastAsia="zh-CN"/>
        </w:rPr>
      </w:pPr>
    </w:p>
    <w:p>
      <w:pPr>
        <w:pStyle w:val="2"/>
        <w:rPr>
          <w:rFonts w:hint="eastAsia"/>
          <w:b/>
          <w:bCs/>
          <w:sz w:val="32"/>
          <w:szCs w:val="32"/>
          <w:lang w:eastAsia="zh-CN"/>
        </w:rPr>
      </w:pPr>
    </w:p>
    <w:p>
      <w:pPr>
        <w:rPr>
          <w:rFonts w:hint="eastAsia"/>
          <w:b/>
          <w:bCs/>
          <w:sz w:val="32"/>
          <w:szCs w:val="32"/>
          <w:lang w:eastAsia="zh-CN"/>
        </w:rPr>
      </w:pPr>
    </w:p>
    <w:p>
      <w:pPr>
        <w:pStyle w:val="2"/>
        <w:rPr>
          <w:rFonts w:hint="eastAsia"/>
          <w:b/>
          <w:bCs/>
          <w:sz w:val="32"/>
          <w:szCs w:val="32"/>
          <w:lang w:eastAsia="zh-CN"/>
        </w:rPr>
      </w:pPr>
    </w:p>
    <w:p>
      <w:pPr>
        <w:rPr>
          <w:rFonts w:hint="eastAsia"/>
          <w:b/>
          <w:bCs/>
          <w:sz w:val="32"/>
          <w:szCs w:val="32"/>
          <w:lang w:eastAsia="zh-CN"/>
        </w:rPr>
      </w:pPr>
    </w:p>
    <w:p>
      <w:pPr>
        <w:pStyle w:val="2"/>
        <w:rPr>
          <w:rFonts w:hint="eastAsia"/>
          <w:b/>
          <w:bCs/>
          <w:sz w:val="32"/>
          <w:szCs w:val="32"/>
          <w:lang w:eastAsia="zh-CN"/>
        </w:rPr>
      </w:pPr>
    </w:p>
    <w:p>
      <w:pPr>
        <w:rPr>
          <w:rFonts w:hint="eastAsia"/>
          <w:b/>
          <w:bCs/>
          <w:sz w:val="32"/>
          <w:szCs w:val="32"/>
          <w:lang w:eastAsia="zh-CN"/>
        </w:rPr>
      </w:pPr>
    </w:p>
    <w:p>
      <w:pPr>
        <w:pStyle w:val="2"/>
        <w:rPr>
          <w:rFonts w:hint="eastAsia"/>
          <w:b/>
          <w:bCs/>
          <w:sz w:val="32"/>
          <w:szCs w:val="32"/>
          <w:lang w:eastAsia="zh-CN"/>
        </w:rPr>
      </w:pPr>
    </w:p>
    <w:p>
      <w:pPr>
        <w:rPr>
          <w:rFonts w:hint="eastAsia"/>
          <w:b/>
          <w:bCs/>
          <w:sz w:val="32"/>
          <w:szCs w:val="32"/>
          <w:lang w:eastAsia="zh-CN"/>
        </w:rPr>
      </w:pPr>
    </w:p>
    <w:p>
      <w:pPr>
        <w:pStyle w:val="2"/>
        <w:rPr>
          <w:rFonts w:hint="eastAsia"/>
          <w:b/>
          <w:bCs/>
          <w:sz w:val="32"/>
          <w:szCs w:val="32"/>
          <w:lang w:eastAsia="zh-CN"/>
        </w:rPr>
      </w:pPr>
    </w:p>
    <w:p>
      <w:pPr>
        <w:rPr>
          <w:rFonts w:hint="eastAsia"/>
          <w:b/>
          <w:bCs/>
          <w:sz w:val="32"/>
          <w:szCs w:val="32"/>
          <w:lang w:eastAsia="zh-CN"/>
        </w:rPr>
      </w:pPr>
    </w:p>
    <w:p>
      <w:pPr>
        <w:pStyle w:val="2"/>
        <w:rPr>
          <w:rFonts w:hint="eastAsia"/>
          <w:b/>
          <w:bCs/>
          <w:sz w:val="32"/>
          <w:szCs w:val="32"/>
          <w:lang w:eastAsia="zh-CN"/>
        </w:rPr>
      </w:pPr>
    </w:p>
    <w:p>
      <w:pPr>
        <w:rPr>
          <w:rFonts w:hint="eastAsia"/>
          <w:lang w:eastAsia="zh-CN"/>
        </w:rPr>
      </w:pPr>
    </w:p>
    <w:p>
      <w:pPr>
        <w:spacing w:line="360" w:lineRule="auto"/>
        <w:jc w:val="center"/>
        <w:rPr>
          <w:b/>
          <w:bCs/>
          <w:sz w:val="32"/>
          <w:szCs w:val="32"/>
        </w:rPr>
      </w:pPr>
      <w:r>
        <w:rPr>
          <w:rFonts w:hint="eastAsia"/>
          <w:b/>
          <w:bCs/>
          <w:sz w:val="32"/>
          <w:szCs w:val="32"/>
          <w:lang w:eastAsia="zh-CN"/>
        </w:rPr>
        <w:t>资格</w:t>
      </w:r>
      <w:r>
        <w:rPr>
          <w:rFonts w:hint="eastAsia"/>
          <w:b/>
          <w:bCs/>
          <w:sz w:val="32"/>
          <w:szCs w:val="32"/>
        </w:rPr>
        <w:t>评审表</w:t>
      </w:r>
    </w:p>
    <w:p>
      <w:pPr>
        <w:pStyle w:val="2"/>
        <w:spacing w:after="0" w:line="360" w:lineRule="auto"/>
        <w:jc w:val="left"/>
        <w:rPr>
          <w:rFonts w:ascii="宋体" w:cs="宋体"/>
          <w:color w:val="000000"/>
          <w:sz w:val="24"/>
        </w:rPr>
      </w:pPr>
      <w:r>
        <w:rPr>
          <w:rFonts w:hint="eastAsia" w:ascii="宋体" w:cs="宋体"/>
          <w:color w:val="000000"/>
          <w:sz w:val="24"/>
        </w:rPr>
        <w:t xml:space="preserve">项目名称： </w:t>
      </w:r>
    </w:p>
    <w:p>
      <w:pPr>
        <w:pStyle w:val="29"/>
        <w:ind w:firstLine="0" w:firstLineChars="0"/>
      </w:pPr>
      <w:r>
        <w:rPr>
          <w:rFonts w:hint="eastAsia"/>
        </w:rPr>
        <w:t>参选人名称：</w:t>
      </w:r>
    </w:p>
    <w:tbl>
      <w:tblPr>
        <w:tblStyle w:val="30"/>
        <w:tblW w:w="8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42"/>
        <w:gridCol w:w="17"/>
        <w:gridCol w:w="3193"/>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审查内容</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评审要求</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sz w:val="21"/>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942"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响应文件格式</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顺序、响应资料数量、签章情况</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响应函、授权</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附件</w:t>
            </w:r>
            <w:r>
              <w:rPr>
                <w:rFonts w:hint="eastAsia" w:ascii="宋体" w:hAnsi="宋体" w:eastAsia="宋体" w:cs="宋体"/>
                <w:color w:val="000000"/>
                <w:sz w:val="21"/>
                <w:szCs w:val="21"/>
                <w:lang w:val="en-US" w:eastAsia="zh-CN"/>
              </w:rPr>
              <w:t>1、2</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响应单位登记表</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附件</w:t>
            </w:r>
            <w:r>
              <w:rPr>
                <w:rFonts w:hint="eastAsia" w:ascii="宋体" w:hAnsi="宋体" w:eastAsia="宋体" w:cs="宋体"/>
                <w:color w:val="000000"/>
                <w:sz w:val="21"/>
                <w:szCs w:val="21"/>
                <w:lang w:val="en-US" w:eastAsia="zh-CN"/>
              </w:rPr>
              <w:t>3</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942" w:type="dxa"/>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营业执照</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有效</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信誉要求</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highlight w:val="none"/>
                <w:lang w:eastAsia="zh-CN"/>
              </w:rPr>
              <w:t>递交截止时间当天或前一天信用中国截图</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无经济诉讼承诺</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highlight w:val="none"/>
              </w:rPr>
              <w:t>目前和近3年有无涉及重大经济诉讼承诺文件</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业绩</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eastAsia="zh-CN"/>
              </w:rPr>
              <w:t>附件</w:t>
            </w:r>
            <w:r>
              <w:rPr>
                <w:rFonts w:hint="eastAsia" w:ascii="宋体" w:hAnsi="宋体" w:eastAsia="宋体" w:cs="宋体"/>
                <w:color w:val="000000"/>
                <w:kern w:val="0"/>
                <w:sz w:val="21"/>
                <w:szCs w:val="21"/>
                <w:highlight w:val="none"/>
                <w:lang w:val="en-US" w:eastAsia="zh-CN"/>
              </w:rPr>
              <w:t>4、供货合同或用户证明（上线三个）</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资质证书</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有效</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报价</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有效</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其他响应要求</w:t>
            </w:r>
          </w:p>
        </w:tc>
        <w:tc>
          <w:tcPr>
            <w:tcW w:w="3210" w:type="dxa"/>
            <w:gridSpan w:val="2"/>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eastAsia="zh-CN"/>
              </w:rPr>
              <w:t>完全响应</w:t>
            </w:r>
          </w:p>
        </w:tc>
        <w:tc>
          <w:tcPr>
            <w:tcW w:w="30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271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评审委员会意见</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（通过或不通过）</w:t>
            </w:r>
          </w:p>
        </w:tc>
        <w:tc>
          <w:tcPr>
            <w:tcW w:w="6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717"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原因</w:t>
            </w:r>
          </w:p>
        </w:tc>
        <w:tc>
          <w:tcPr>
            <w:tcW w:w="621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1"/>
                <w:szCs w:val="21"/>
              </w:rPr>
            </w:pPr>
          </w:p>
        </w:tc>
      </w:tr>
    </w:tbl>
    <w:p>
      <w:pPr>
        <w:spacing w:line="360" w:lineRule="auto"/>
        <w:ind w:firstLine="402" w:firstLineChars="200"/>
        <w:rPr>
          <w:rFonts w:ascii="宋体"/>
          <w:color w:val="000000"/>
          <w:szCs w:val="21"/>
        </w:rPr>
      </w:pPr>
      <w:r>
        <w:rPr>
          <w:rFonts w:hint="eastAsia" w:ascii="宋体"/>
          <w:color w:val="000000"/>
          <w:szCs w:val="21"/>
        </w:rPr>
        <w:t>备注：每一项目符合的打“√”，不符合的打“×”；出现一个“×”的结论为“不通过”（不通过的要说明原因）。</w:t>
      </w:r>
    </w:p>
    <w:p>
      <w:pPr>
        <w:spacing w:line="360" w:lineRule="auto"/>
        <w:ind w:firstLine="462" w:firstLineChars="200"/>
        <w:rPr>
          <w:rFonts w:hint="eastAsia" w:ascii="仿宋_GB2312" w:hAnsi="仿宋_GB2312" w:eastAsia="仿宋_GB2312" w:cs="仿宋_GB2312"/>
          <w:color w:val="000000"/>
          <w:sz w:val="24"/>
        </w:rPr>
      </w:pPr>
    </w:p>
    <w:p>
      <w:pPr>
        <w:spacing w:line="360" w:lineRule="auto"/>
        <w:ind w:firstLine="462"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pPr>
        <w:spacing w:line="360" w:lineRule="auto"/>
        <w:rPr>
          <w:rFonts w:hint="eastAsia" w:ascii="宋体"/>
          <w:color w:val="000000"/>
          <w:szCs w:val="21"/>
        </w:rPr>
      </w:pPr>
    </w:p>
    <w:p>
      <w:pPr>
        <w:spacing w:line="360" w:lineRule="auto"/>
        <w:ind w:left="2830"/>
        <w:rPr>
          <w:rFonts w:ascii="宋体" w:cs="宋体"/>
          <w:b/>
        </w:rPr>
      </w:pPr>
    </w:p>
    <w:p>
      <w:pPr>
        <w:rPr>
          <w:rFonts w:ascii="宋体" w:cs="宋体"/>
          <w:kern w:val="0"/>
          <w:sz w:val="24"/>
          <w:highlight w:val="none"/>
          <w:lang w:val="zh-CN"/>
        </w:rPr>
        <w:sectPr>
          <w:footerReference r:id="rId8" w:type="default"/>
          <w:pgSz w:w="11906" w:h="16838"/>
          <w:pgMar w:top="1417" w:right="1701" w:bottom="1417" w:left="1701" w:header="851" w:footer="992" w:gutter="0"/>
          <w:pgNumType w:fmt="decimal" w:start="1"/>
          <w:cols w:space="720" w:num="1"/>
          <w:docGrid w:type="linesAndChars" w:linePitch="289" w:charSpace="-1844"/>
        </w:sectPr>
      </w:pPr>
    </w:p>
    <w:tbl>
      <w:tblPr>
        <w:tblStyle w:val="30"/>
        <w:tblW w:w="13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10"/>
        <w:gridCol w:w="6582"/>
        <w:gridCol w:w="2266"/>
        <w:gridCol w:w="2184"/>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60" w:hRule="atLeast"/>
        </w:trPr>
        <w:tc>
          <w:tcPr>
            <w:tcW w:w="13958"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应急物资采购项目(十七)项目比选汇总表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6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公司名称</w:t>
            </w:r>
          </w:p>
        </w:tc>
        <w:tc>
          <w:tcPr>
            <w:tcW w:w="2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资格评审是否通过</w:t>
            </w:r>
          </w:p>
        </w:tc>
        <w:tc>
          <w:tcPr>
            <w:tcW w:w="2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报价（万元）</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40" w:hRule="atLeast"/>
        </w:trPr>
        <w:tc>
          <w:tcPr>
            <w:tcW w:w="13958"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462" w:firstLineChars="20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注：资格评审通过</w:t>
            </w:r>
            <w:r>
              <w:rPr>
                <w:rFonts w:hint="eastAsia" w:ascii="宋体"/>
                <w:color w:val="000000"/>
                <w:szCs w:val="21"/>
              </w:rPr>
              <w:t>打“√”</w:t>
            </w:r>
            <w:r>
              <w:rPr>
                <w:rFonts w:hint="eastAsia" w:ascii="宋体"/>
                <w:color w:val="000000"/>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71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评委（签字）：</w:t>
            </w:r>
          </w:p>
        </w:tc>
        <w:tc>
          <w:tcPr>
            <w:tcW w:w="658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26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18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1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2"/>
        <w:rPr>
          <w:lang w:val="zh-CN"/>
        </w:rPr>
        <w:sectPr>
          <w:pgSz w:w="16838" w:h="11906" w:orient="landscape"/>
          <w:pgMar w:top="1701" w:right="1417" w:bottom="1701" w:left="1417" w:header="851" w:footer="992" w:gutter="0"/>
          <w:pgNumType w:fmt="decimal"/>
          <w:cols w:space="720" w:num="1"/>
          <w:docGrid w:type="linesAndChars" w:linePitch="289" w:charSpace="-1844"/>
        </w:sectPr>
      </w:pPr>
    </w:p>
    <w:p>
      <w:pPr>
        <w:pStyle w:val="7"/>
        <w:rPr>
          <w:lang w:val="zh-CN"/>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pPr>
        <w:widowControl/>
        <w:spacing w:line="360" w:lineRule="auto"/>
        <w:jc w:val="center"/>
        <w:rPr>
          <w:rFonts w:ascii="宋体"/>
          <w:b/>
          <w:bCs/>
          <w:sz w:val="40"/>
          <w:szCs w:val="40"/>
          <w:highlight w:val="none"/>
        </w:rPr>
      </w:pPr>
    </w:p>
    <w:p>
      <w:pPr>
        <w:pStyle w:val="2"/>
        <w:spacing w:after="0" w:line="360" w:lineRule="auto"/>
        <w:jc w:val="center"/>
        <w:rPr>
          <w:rFonts w:ascii="宋体"/>
          <w:b/>
          <w:bCs/>
          <w:sz w:val="40"/>
          <w:szCs w:val="40"/>
          <w:highlight w:val="none"/>
        </w:rPr>
      </w:pPr>
    </w:p>
    <w:p>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pPr>
        <w:widowControl/>
        <w:spacing w:line="360" w:lineRule="auto"/>
        <w:ind w:firstLine="3360"/>
        <w:rPr>
          <w:rFonts w:ascii="宋体" w:cs="宋体"/>
          <w:kern w:val="0"/>
          <w:sz w:val="28"/>
          <w:szCs w:val="28"/>
          <w:highlight w:val="none"/>
        </w:rPr>
      </w:pPr>
    </w:p>
    <w:p>
      <w:pPr>
        <w:pStyle w:val="29"/>
        <w:ind w:firstLine="608"/>
        <w:rPr>
          <w:rFonts w:ascii="宋体" w:cs="宋体"/>
          <w:sz w:val="28"/>
          <w:szCs w:val="28"/>
          <w:highlight w:val="none"/>
        </w:rPr>
      </w:pPr>
    </w:p>
    <w:p>
      <w:pPr>
        <w:rPr>
          <w:rFonts w:ascii="宋体" w:cs="宋体"/>
          <w:kern w:val="0"/>
          <w:sz w:val="28"/>
          <w:szCs w:val="28"/>
          <w:highlight w:val="none"/>
        </w:rPr>
      </w:pPr>
    </w:p>
    <w:p>
      <w:pPr>
        <w:pStyle w:val="29"/>
        <w:ind w:firstLine="528"/>
        <w:rPr>
          <w:highlight w:val="none"/>
        </w:rPr>
      </w:pPr>
    </w:p>
    <w:p>
      <w:pPr>
        <w:pStyle w:val="29"/>
        <w:ind w:firstLine="375" w:firstLineChars="100"/>
        <w:rPr>
          <w:rFonts w:ascii="黑体" w:hAnsi="黑体" w:eastAsia="黑体" w:cs="宋体"/>
          <w:snapToGrid w:val="0"/>
          <w:sz w:val="36"/>
          <w:szCs w:val="36"/>
          <w:highlight w:val="none"/>
        </w:rPr>
      </w:pPr>
    </w:p>
    <w:p>
      <w:pPr>
        <w:pStyle w:val="29"/>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pPr>
        <w:pStyle w:val="29"/>
        <w:ind w:firstLine="2345" w:firstLineChars="700"/>
        <w:rPr>
          <w:rFonts w:ascii="宋体" w:cs="宋体"/>
          <w:sz w:val="32"/>
          <w:szCs w:val="32"/>
          <w:highlight w:val="none"/>
        </w:rPr>
      </w:pPr>
    </w:p>
    <w:p>
      <w:pPr>
        <w:pStyle w:val="29"/>
        <w:ind w:firstLine="3150" w:firstLineChars="1000"/>
        <w:rPr>
          <w:rFonts w:ascii="宋体" w:cs="宋体"/>
          <w:b/>
          <w:bCs/>
          <w:sz w:val="30"/>
          <w:szCs w:val="30"/>
          <w:highlight w:val="none"/>
        </w:rPr>
      </w:pPr>
    </w:p>
    <w:p>
      <w:pPr>
        <w:pStyle w:val="29"/>
        <w:ind w:firstLine="688"/>
        <w:rPr>
          <w:rFonts w:ascii="宋体" w:cs="宋体"/>
          <w:sz w:val="32"/>
          <w:szCs w:val="32"/>
          <w:highlight w:val="none"/>
        </w:rPr>
      </w:pPr>
    </w:p>
    <w:p>
      <w:pPr>
        <w:pStyle w:val="29"/>
        <w:ind w:firstLine="688"/>
        <w:rPr>
          <w:rFonts w:ascii="宋体" w:cs="宋体"/>
          <w:sz w:val="32"/>
          <w:szCs w:val="32"/>
          <w:highlight w:val="none"/>
        </w:rPr>
      </w:pPr>
    </w:p>
    <w:p>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eastAsia="zh-CN"/>
        </w:rPr>
        <w:t>供应商</w:t>
      </w:r>
      <w:r>
        <w:rPr>
          <w:rFonts w:hint="eastAsia" w:ascii="宋体" w:cs="宋体"/>
          <w:kern w:val="0"/>
          <w:sz w:val="32"/>
          <w:szCs w:val="32"/>
          <w:highlight w:val="none"/>
        </w:rPr>
        <w:t>：（盖单位章）</w:t>
      </w:r>
    </w:p>
    <w:p>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pPr>
        <w:pStyle w:val="29"/>
        <w:spacing w:line="720" w:lineRule="auto"/>
        <w:ind w:firstLine="528"/>
        <w:rPr>
          <w:highlight w:val="none"/>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pPr>
        <w:jc w:val="center"/>
        <w:rPr>
          <w:rFonts w:ascii="宋体" w:cs="宋体"/>
          <w:b/>
          <w:bCs/>
          <w:kern w:val="0"/>
          <w:sz w:val="36"/>
          <w:szCs w:val="36"/>
          <w:highlight w:val="none"/>
        </w:rPr>
      </w:pPr>
      <w:bookmarkStart w:id="35" w:name="_Toc2536"/>
      <w:bookmarkStart w:id="36" w:name="_Toc8581"/>
      <w:bookmarkStart w:id="37" w:name="_Toc29658"/>
      <w:bookmarkStart w:id="38" w:name="_Toc26388"/>
      <w:bookmarkStart w:id="39" w:name="_Toc25572"/>
      <w:bookmarkStart w:id="40" w:name="_Toc24025"/>
      <w:bookmarkStart w:id="41" w:name="_Toc25160"/>
      <w:bookmarkStart w:id="42" w:name="_Toc18593"/>
    </w:p>
    <w:p>
      <w:pPr>
        <w:jc w:val="center"/>
        <w:rPr>
          <w:rFonts w:ascii="宋体" w:cs="宋体"/>
          <w:b/>
          <w:bCs/>
          <w:kern w:val="0"/>
          <w:sz w:val="36"/>
          <w:szCs w:val="36"/>
          <w:highlight w:val="none"/>
        </w:rPr>
      </w:pPr>
    </w:p>
    <w:p>
      <w:pPr>
        <w:pStyle w:val="39"/>
        <w:rPr>
          <w:highlight w:val="none"/>
        </w:rPr>
      </w:pPr>
    </w:p>
    <w:bookmarkEnd w:id="35"/>
    <w:bookmarkEnd w:id="36"/>
    <w:bookmarkEnd w:id="37"/>
    <w:bookmarkEnd w:id="38"/>
    <w:bookmarkEnd w:id="39"/>
    <w:bookmarkEnd w:id="40"/>
    <w:bookmarkEnd w:id="41"/>
    <w:p>
      <w:pPr>
        <w:pStyle w:val="3"/>
        <w:keepNext/>
        <w:widowControl/>
        <w:autoSpaceDE w:val="0"/>
        <w:autoSpaceDN w:val="0"/>
        <w:adjustRightInd w:val="0"/>
        <w:snapToGrid w:val="0"/>
        <w:spacing w:line="360" w:lineRule="auto"/>
        <w:textAlignment w:val="baseline"/>
        <w:rPr>
          <w:b/>
          <w:kern w:val="0"/>
          <w:sz w:val="28"/>
          <w:szCs w:val="28"/>
          <w:highlight w:val="none"/>
        </w:rPr>
      </w:pPr>
      <w:bookmarkStart w:id="43" w:name="_Toc21192"/>
      <w:bookmarkStart w:id="44" w:name="_Toc8214"/>
      <w:bookmarkStart w:id="45" w:name="_Toc17910"/>
      <w:bookmarkStart w:id="46" w:name="_Toc10795"/>
      <w:bookmarkStart w:id="47" w:name="_Toc13905"/>
      <w:bookmarkStart w:id="48" w:name="_Toc1264"/>
      <w:bookmarkStart w:id="49" w:name="_Toc7287"/>
      <w:bookmarkStart w:id="50" w:name="_Toc21194"/>
      <w:bookmarkStart w:id="51" w:name="_Toc31185"/>
      <w:bookmarkStart w:id="52" w:name="_Toc28891"/>
      <w:bookmarkStart w:id="53" w:name="_Toc25289"/>
      <w:bookmarkStart w:id="54" w:name="_Toc2122"/>
      <w:bookmarkStart w:id="55" w:name="_Toc5441"/>
      <w:bookmarkStart w:id="56" w:name="_Toc6235"/>
      <w:bookmarkStart w:id="57" w:name="_Toc7407"/>
      <w:r>
        <w:rPr>
          <w:b/>
          <w:kern w:val="0"/>
          <w:sz w:val="28"/>
          <w:szCs w:val="28"/>
          <w:highlight w:val="none"/>
        </w:rPr>
        <w:t>附件1：</w:t>
      </w:r>
      <w:r>
        <w:rPr>
          <w:rFonts w:hint="eastAsia"/>
          <w:b/>
          <w:kern w:val="0"/>
          <w:sz w:val="28"/>
          <w:szCs w:val="28"/>
          <w:highlight w:val="none"/>
          <w:lang w:eastAsia="zh-CN"/>
        </w:rPr>
        <w:t>响应</w:t>
      </w:r>
      <w:r>
        <w:rPr>
          <w:b/>
          <w:kern w:val="0"/>
          <w:sz w:val="28"/>
          <w:szCs w:val="28"/>
          <w:highlight w:val="none"/>
        </w:rPr>
        <w:t>函</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line="360" w:lineRule="auto"/>
        <w:jc w:val="center"/>
        <w:rPr>
          <w:rFonts w:ascii="宋体" w:hAnsi="宋体"/>
          <w:b/>
          <w:sz w:val="32"/>
          <w:szCs w:val="32"/>
          <w:highlight w:val="none"/>
        </w:rPr>
      </w:pPr>
    </w:p>
    <w:p>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pPr>
        <w:adjustRightInd w:val="0"/>
        <w:snapToGrid w:val="0"/>
        <w:spacing w:line="360" w:lineRule="auto"/>
        <w:rPr>
          <w:rFonts w:ascii="宋体" w:hAnsi="宋体"/>
          <w:b/>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响应总资金</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万元，</w:t>
      </w:r>
      <w:r>
        <w:rPr>
          <w:rFonts w:hint="eastAsia" w:ascii="宋体" w:hAnsi="宋体" w:eastAsia="宋体" w:cs="宋体"/>
          <w:color w:val="000000"/>
          <w:sz w:val="24"/>
          <w:szCs w:val="24"/>
          <w:highlight w:val="none"/>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1．我方已仔细阅读研究了</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（项目名称）</w:t>
      </w:r>
      <w:r>
        <w:rPr>
          <w:rFonts w:hint="eastAsia" w:ascii="宋体" w:hAnsi="宋体" w:eastAsia="宋体" w:cs="宋体"/>
          <w:sz w:val="24"/>
          <w:szCs w:val="24"/>
          <w:highlight w:val="none"/>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                               年    月    日</w:t>
      </w:r>
    </w:p>
    <w:p>
      <w:pPr>
        <w:pStyle w:val="3"/>
        <w:keepNext/>
        <w:widowControl/>
        <w:autoSpaceDE w:val="0"/>
        <w:autoSpaceDN w:val="0"/>
        <w:adjustRightInd w:val="0"/>
        <w:snapToGrid w:val="0"/>
        <w:spacing w:line="360" w:lineRule="auto"/>
        <w:textAlignment w:val="baseline"/>
        <w:rPr>
          <w:b/>
          <w:kern w:val="0"/>
          <w:sz w:val="28"/>
          <w:szCs w:val="28"/>
          <w:highlight w:val="none"/>
        </w:rPr>
      </w:pPr>
      <w:bookmarkStart w:id="58" w:name="_Toc8562"/>
      <w:bookmarkStart w:id="59" w:name="_Toc4019"/>
      <w:bookmarkStart w:id="60" w:name="_Toc12745"/>
      <w:bookmarkStart w:id="61" w:name="_Toc18578"/>
      <w:bookmarkStart w:id="62" w:name="_Toc27069"/>
      <w:bookmarkStart w:id="63" w:name="_Toc27672"/>
      <w:bookmarkStart w:id="64" w:name="_Toc12924"/>
      <w:bookmarkStart w:id="65" w:name="_Toc31352"/>
      <w:bookmarkStart w:id="66" w:name="_Toc21922"/>
      <w:bookmarkStart w:id="67" w:name="_Toc24540"/>
      <w:bookmarkStart w:id="68" w:name="_Toc27645"/>
      <w:bookmarkStart w:id="69" w:name="_Toc18936"/>
      <w:bookmarkStart w:id="70" w:name="_Toc2998"/>
      <w:bookmarkStart w:id="71" w:name="_Toc11513"/>
      <w:bookmarkStart w:id="72" w:name="_Toc28859"/>
    </w:p>
    <w:p>
      <w:pPr>
        <w:pStyle w:val="3"/>
        <w:keepNext/>
        <w:widowControl/>
        <w:autoSpaceDE w:val="0"/>
        <w:autoSpaceDN w:val="0"/>
        <w:adjustRightInd w:val="0"/>
        <w:snapToGrid w:val="0"/>
        <w:spacing w:line="360" w:lineRule="auto"/>
        <w:textAlignment w:val="baseline"/>
        <w:rPr>
          <w:b/>
          <w:kern w:val="0"/>
          <w:sz w:val="28"/>
          <w:szCs w:val="28"/>
          <w:highlight w:val="none"/>
        </w:rPr>
      </w:pPr>
      <w:r>
        <w:rPr>
          <w:b/>
          <w:kern w:val="0"/>
          <w:sz w:val="28"/>
          <w:szCs w:val="28"/>
          <w:highlight w:val="none"/>
        </w:rPr>
        <w:t>附件</w:t>
      </w:r>
      <w:bookmarkStart w:id="73" w:name="_Toc49162371"/>
      <w:bookmarkStart w:id="74" w:name="_Toc198862465"/>
      <w:r>
        <w:rPr>
          <w:b/>
          <w:kern w:val="0"/>
          <w:sz w:val="28"/>
          <w:szCs w:val="28"/>
          <w:highlight w:val="none"/>
        </w:rPr>
        <w:t>2 ：授权书格式</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b/>
          <w:kern w:val="0"/>
          <w:sz w:val="28"/>
          <w:szCs w:val="28"/>
          <w:highlight w:val="none"/>
        </w:rPr>
        <w:t xml:space="preserve"> </w:t>
      </w:r>
    </w:p>
    <w:bookmarkEnd w:id="73"/>
    <w:bookmarkEnd w:id="74"/>
    <w:p>
      <w:pPr>
        <w:pStyle w:val="4"/>
        <w:ind w:right="-293" w:rightChars="-146"/>
        <w:jc w:val="center"/>
        <w:rPr>
          <w:rFonts w:ascii="宋体"/>
          <w:sz w:val="24"/>
          <w:szCs w:val="24"/>
          <w:highlight w:val="none"/>
          <w:lang w:val="zh-CN"/>
        </w:rPr>
      </w:pPr>
      <w:bookmarkStart w:id="75" w:name="_Toc7142"/>
      <w:bookmarkStart w:id="76" w:name="_Toc396236625"/>
      <w:bookmarkStart w:id="77" w:name="_Toc396236151"/>
      <w:bookmarkStart w:id="78" w:name="_Toc13257"/>
      <w:bookmarkStart w:id="79" w:name="_Toc2962"/>
      <w:bookmarkStart w:id="80" w:name="_Toc360630804"/>
      <w:bookmarkStart w:id="81" w:name="_Toc12389"/>
      <w:bookmarkStart w:id="82" w:name="_Toc27295"/>
      <w:bookmarkStart w:id="83" w:name="_Toc16317"/>
      <w:bookmarkStart w:id="84" w:name="_Toc18230"/>
      <w:r>
        <w:rPr>
          <w:rFonts w:hint="eastAsia" w:ascii="宋体"/>
          <w:sz w:val="24"/>
          <w:szCs w:val="24"/>
          <w:highlight w:val="none"/>
          <w:lang w:eastAsia="zh-CN"/>
        </w:rPr>
        <w:t>二</w:t>
      </w:r>
      <w:r>
        <w:rPr>
          <w:rFonts w:hint="eastAsia" w:ascii="宋体"/>
          <w:sz w:val="24"/>
          <w:szCs w:val="24"/>
          <w:highlight w:val="none"/>
          <w:lang w:val="zh-CN"/>
        </w:rPr>
        <w:t>、法定代表人授权委托书</w:t>
      </w:r>
      <w:bookmarkEnd w:id="75"/>
      <w:bookmarkEnd w:id="76"/>
      <w:bookmarkEnd w:id="77"/>
      <w:bookmarkEnd w:id="78"/>
      <w:bookmarkEnd w:id="79"/>
      <w:bookmarkEnd w:id="80"/>
      <w:bookmarkEnd w:id="81"/>
      <w:bookmarkEnd w:id="82"/>
      <w:bookmarkEnd w:id="83"/>
      <w:bookmarkEnd w:id="84"/>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本人</w:t>
      </w:r>
      <w:r>
        <w:rPr>
          <w:rFonts w:hint="eastAsia"/>
          <w:sz w:val="24"/>
          <w:szCs w:val="24"/>
          <w:highlight w:val="none"/>
          <w:u w:val="single"/>
        </w:rPr>
        <w:t>（姓名）</w:t>
      </w:r>
      <w:r>
        <w:rPr>
          <w:rFonts w:hint="eastAsia"/>
          <w:sz w:val="24"/>
          <w:szCs w:val="24"/>
          <w:highlight w:val="none"/>
        </w:rPr>
        <w:t>系</w:t>
      </w:r>
      <w:r>
        <w:rPr>
          <w:rFonts w:hint="eastAsia"/>
          <w:sz w:val="24"/>
          <w:szCs w:val="24"/>
          <w:highlight w:val="none"/>
          <w:u w:val="single"/>
        </w:rPr>
        <w:t>（申请人名称）</w:t>
      </w:r>
      <w:r>
        <w:rPr>
          <w:rFonts w:hint="eastAsia"/>
          <w:sz w:val="24"/>
          <w:szCs w:val="24"/>
          <w:highlight w:val="none"/>
        </w:rPr>
        <w:t>的法定代表人，现委托</w:t>
      </w:r>
      <w:r>
        <w:rPr>
          <w:rFonts w:hint="eastAsia"/>
          <w:sz w:val="24"/>
          <w:szCs w:val="24"/>
          <w:highlight w:val="none"/>
          <w:u w:val="single"/>
        </w:rPr>
        <w:t>（姓名）</w:t>
      </w:r>
      <w:r>
        <w:rPr>
          <w:rFonts w:hint="eastAsia"/>
          <w:sz w:val="24"/>
          <w:szCs w:val="24"/>
          <w:highlight w:val="none"/>
        </w:rPr>
        <w:t>为我方代理人，代理人根据授权，以我方名义参加</w:t>
      </w:r>
      <w:r>
        <w:rPr>
          <w:rFonts w:hint="eastAsia"/>
          <w:sz w:val="24"/>
          <w:szCs w:val="24"/>
          <w:highlight w:val="none"/>
          <w:u w:val="single"/>
        </w:rPr>
        <w:t xml:space="preserve">（项目名称）  </w:t>
      </w:r>
      <w:r>
        <w:rPr>
          <w:rFonts w:hint="eastAsia"/>
          <w:sz w:val="24"/>
          <w:szCs w:val="24"/>
          <w:highlight w:val="none"/>
        </w:rPr>
        <w:t>的比选活动，以我方的名义签署、澄清、说明、补正、递交、响应文件和处理有关事宜，其法律后果由我方承担。</w:t>
      </w:r>
    </w:p>
    <w:p>
      <w:pPr>
        <w:spacing w:line="360" w:lineRule="auto"/>
        <w:ind w:right="-293" w:rightChars="-146" w:firstLine="462" w:firstLineChars="200"/>
        <w:rPr>
          <w:sz w:val="24"/>
          <w:szCs w:val="24"/>
          <w:highlight w:val="none"/>
        </w:rPr>
      </w:pPr>
      <w:r>
        <w:rPr>
          <w:rFonts w:hint="eastAsia"/>
          <w:sz w:val="24"/>
          <w:szCs w:val="24"/>
          <w:highlight w:val="none"/>
        </w:rPr>
        <w:t>委托期限：自授权书签订之日起至</w:t>
      </w:r>
      <w:r>
        <w:rPr>
          <w:rFonts w:hint="eastAsia"/>
          <w:sz w:val="24"/>
          <w:szCs w:val="24"/>
          <w:highlight w:val="none"/>
          <w:lang w:eastAsia="zh-CN"/>
        </w:rPr>
        <w:t>比选</w:t>
      </w:r>
      <w:r>
        <w:rPr>
          <w:rFonts w:hint="eastAsia"/>
          <w:sz w:val="24"/>
          <w:szCs w:val="24"/>
          <w:highlight w:val="none"/>
        </w:rPr>
        <w:t>有效期截止之日止。</w:t>
      </w:r>
    </w:p>
    <w:p>
      <w:pPr>
        <w:spacing w:line="360" w:lineRule="auto"/>
        <w:ind w:right="-293" w:rightChars="-146" w:firstLine="462" w:firstLineChars="200"/>
        <w:rPr>
          <w:sz w:val="24"/>
          <w:szCs w:val="24"/>
          <w:highlight w:val="none"/>
        </w:rPr>
      </w:pPr>
      <w:r>
        <w:rPr>
          <w:rFonts w:hint="eastAsia"/>
          <w:sz w:val="24"/>
          <w:szCs w:val="24"/>
          <w:highlight w:val="none"/>
        </w:rPr>
        <w:t>委托代理人无转委托权。</w:t>
      </w:r>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附：法定代表人身份证复印件及委托代理人身份证复印件</w:t>
      </w:r>
    </w:p>
    <w:p>
      <w:pPr>
        <w:topLinePunct/>
        <w:spacing w:line="540" w:lineRule="exact"/>
        <w:ind w:right="-293" w:rightChars="-146" w:firstLine="610"/>
        <w:rPr>
          <w:sz w:val="24"/>
          <w:szCs w:val="24"/>
          <w:highlight w:val="none"/>
        </w:rPr>
      </w:pPr>
    </w:p>
    <w:p>
      <w:pPr>
        <w:topLinePunct/>
        <w:spacing w:line="540" w:lineRule="exact"/>
        <w:ind w:right="-293" w:rightChars="-146" w:firstLine="610"/>
        <w:rPr>
          <w:sz w:val="24"/>
          <w:szCs w:val="24"/>
          <w:highlight w:val="none"/>
        </w:rPr>
      </w:pPr>
    </w:p>
    <w:p>
      <w:pPr>
        <w:topLinePunct/>
        <w:spacing w:line="540" w:lineRule="exact"/>
        <w:ind w:right="-293" w:rightChars="-146" w:firstLine="2541" w:firstLineChars="1100"/>
        <w:rPr>
          <w:sz w:val="24"/>
          <w:szCs w:val="24"/>
          <w:highlight w:val="none"/>
        </w:rPr>
      </w:pPr>
      <w:r>
        <w:rPr>
          <w:rFonts w:hint="eastAsia"/>
          <w:sz w:val="24"/>
          <w:szCs w:val="24"/>
          <w:highlight w:val="none"/>
          <w:lang w:eastAsia="zh-CN"/>
        </w:rPr>
        <w:t>供应商</w:t>
      </w:r>
      <w:r>
        <w:rPr>
          <w:rFonts w:hint="eastAsia"/>
          <w:sz w:val="24"/>
          <w:szCs w:val="24"/>
          <w:highlight w:val="none"/>
        </w:rPr>
        <w:t>：（盖单位章）</w:t>
      </w:r>
    </w:p>
    <w:p>
      <w:pPr>
        <w:topLinePunct/>
        <w:spacing w:line="540" w:lineRule="exact"/>
        <w:ind w:right="-293" w:rightChars="-146" w:firstLine="2541" w:firstLineChars="1100"/>
        <w:rPr>
          <w:sz w:val="24"/>
          <w:szCs w:val="24"/>
          <w:highlight w:val="none"/>
        </w:rPr>
      </w:pPr>
      <w:r>
        <w:rPr>
          <w:rFonts w:hint="eastAsia"/>
          <w:sz w:val="24"/>
          <w:szCs w:val="24"/>
          <w:highlight w:val="none"/>
        </w:rPr>
        <w:t>法定代表人</w:t>
      </w:r>
      <w:r>
        <w:rPr>
          <w:rFonts w:hint="eastAsia"/>
          <w:sz w:val="24"/>
          <w:szCs w:val="24"/>
          <w:highlight w:val="none"/>
          <w:lang w:eastAsia="zh-CN"/>
        </w:rPr>
        <w:t>：</w:t>
      </w:r>
      <w:r>
        <w:rPr>
          <w:rFonts w:hint="eastAsia"/>
          <w:sz w:val="24"/>
          <w:szCs w:val="24"/>
          <w:highlight w:val="none"/>
        </w:rPr>
        <w:t>（签字或印鉴）</w:t>
      </w:r>
    </w:p>
    <w:p>
      <w:pPr>
        <w:topLinePunct/>
        <w:spacing w:line="540" w:lineRule="exact"/>
        <w:ind w:right="-293" w:rightChars="-146" w:firstLine="2541" w:firstLineChars="1100"/>
        <w:rPr>
          <w:sz w:val="24"/>
          <w:szCs w:val="24"/>
          <w:highlight w:val="none"/>
          <w:u w:val="single"/>
        </w:rPr>
      </w:pPr>
      <w:r>
        <w:rPr>
          <w:rFonts w:hint="eastAsia"/>
          <w:sz w:val="24"/>
          <w:szCs w:val="24"/>
          <w:highlight w:val="none"/>
        </w:rPr>
        <w:t>身份证号码：</w:t>
      </w:r>
    </w:p>
    <w:p>
      <w:pPr>
        <w:topLinePunct/>
        <w:spacing w:line="540" w:lineRule="exact"/>
        <w:ind w:right="-293" w:rightChars="-146" w:firstLine="2541" w:firstLineChars="1100"/>
        <w:rPr>
          <w:sz w:val="24"/>
          <w:szCs w:val="24"/>
          <w:highlight w:val="none"/>
        </w:rPr>
      </w:pPr>
      <w:r>
        <w:rPr>
          <w:rFonts w:hint="eastAsia"/>
          <w:sz w:val="24"/>
          <w:szCs w:val="24"/>
          <w:highlight w:val="none"/>
        </w:rPr>
        <w:t>委托代理人：（签字）</w:t>
      </w:r>
    </w:p>
    <w:p>
      <w:pPr>
        <w:topLinePunct/>
        <w:spacing w:line="540" w:lineRule="exact"/>
        <w:ind w:right="-293" w:rightChars="-146" w:firstLine="2541" w:firstLineChars="1100"/>
        <w:rPr>
          <w:sz w:val="24"/>
          <w:szCs w:val="24"/>
          <w:highlight w:val="none"/>
        </w:rPr>
      </w:pPr>
      <w:r>
        <w:rPr>
          <w:rFonts w:hint="eastAsia"/>
          <w:sz w:val="24"/>
          <w:szCs w:val="24"/>
          <w:highlight w:val="none"/>
        </w:rPr>
        <w:t>身份证号码：</w:t>
      </w:r>
    </w:p>
    <w:p>
      <w:pPr>
        <w:topLinePunct/>
        <w:spacing w:line="540" w:lineRule="exact"/>
        <w:ind w:left="399" w:leftChars="199" w:right="-293" w:rightChars="-146" w:firstLine="3465" w:firstLineChars="1500"/>
        <w:jc w:val="right"/>
        <w:rPr>
          <w:sz w:val="24"/>
          <w:szCs w:val="24"/>
          <w:highlight w:val="none"/>
        </w:rPr>
      </w:pPr>
    </w:p>
    <w:p>
      <w:pPr>
        <w:topLinePunct/>
        <w:spacing w:line="540" w:lineRule="exact"/>
        <w:ind w:left="399" w:leftChars="199" w:right="-293" w:rightChars="-146" w:firstLine="3465" w:firstLineChars="1500"/>
        <w:jc w:val="right"/>
        <w:rPr>
          <w:sz w:val="24"/>
          <w:szCs w:val="24"/>
          <w:highlight w:val="none"/>
        </w:rPr>
      </w:pPr>
      <w:r>
        <w:rPr>
          <w:rFonts w:hint="eastAsia"/>
          <w:sz w:val="24"/>
          <w:szCs w:val="24"/>
          <w:highlight w:val="none"/>
        </w:rPr>
        <w:t>年    月    日</w:t>
      </w:r>
    </w:p>
    <w:p>
      <w:pPr>
        <w:spacing w:line="360" w:lineRule="auto"/>
        <w:ind w:right="-293" w:rightChars="-146"/>
        <w:rPr>
          <w:sz w:val="24"/>
          <w:szCs w:val="24"/>
          <w:highlight w:val="none"/>
          <w:u w:val="single"/>
        </w:rPr>
      </w:pPr>
    </w:p>
    <w:p>
      <w:pPr>
        <w:spacing w:line="300" w:lineRule="auto"/>
        <w:ind w:right="-293" w:rightChars="-146"/>
        <w:rPr>
          <w:sz w:val="24"/>
          <w:szCs w:val="24"/>
          <w:highlight w:val="none"/>
        </w:rPr>
      </w:pPr>
      <w:r>
        <w:rPr>
          <w:rFonts w:hint="eastAsia"/>
          <w:sz w:val="24"/>
          <w:szCs w:val="24"/>
          <w:highlight w:val="none"/>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highlight w:val="none"/>
        </w:rPr>
      </w:pPr>
      <w:r>
        <w:rPr>
          <w:rFonts w:hint="eastAsia"/>
          <w:sz w:val="24"/>
          <w:szCs w:val="24"/>
          <w:highlight w:val="none"/>
        </w:rPr>
        <w:t>②委托代理人限为一人。</w:t>
      </w:r>
    </w:p>
    <w:p>
      <w:pPr>
        <w:pStyle w:val="3"/>
        <w:keepNext/>
        <w:widowControl/>
        <w:autoSpaceDE w:val="0"/>
        <w:autoSpaceDN w:val="0"/>
        <w:adjustRightInd w:val="0"/>
        <w:snapToGrid w:val="0"/>
        <w:spacing w:line="360" w:lineRule="auto"/>
        <w:textAlignment w:val="baseline"/>
        <w:rPr>
          <w:b/>
          <w:kern w:val="0"/>
          <w:sz w:val="28"/>
          <w:szCs w:val="28"/>
          <w:highlight w:val="none"/>
        </w:rPr>
      </w:pPr>
      <w:bookmarkStart w:id="85" w:name="_Toc26549"/>
      <w:bookmarkStart w:id="86" w:name="_Toc13241"/>
      <w:bookmarkStart w:id="87" w:name="_Toc9265"/>
      <w:bookmarkStart w:id="88" w:name="_Toc15437"/>
      <w:bookmarkStart w:id="89" w:name="_Toc16316"/>
      <w:bookmarkStart w:id="90" w:name="_Toc15030"/>
      <w:bookmarkStart w:id="91" w:name="_Toc20277"/>
      <w:bookmarkStart w:id="92" w:name="_Toc27913"/>
      <w:bookmarkStart w:id="93" w:name="_Toc22278"/>
      <w:bookmarkStart w:id="94" w:name="_Toc16972"/>
      <w:bookmarkStart w:id="95" w:name="_Toc10367"/>
      <w:bookmarkStart w:id="96" w:name="_Toc8164"/>
      <w:bookmarkStart w:id="97" w:name="_Toc13184"/>
      <w:bookmarkStart w:id="98" w:name="_Toc8425"/>
      <w:bookmarkStart w:id="99" w:name="_Toc31358"/>
      <w:r>
        <w:rPr>
          <w:b/>
          <w:kern w:val="0"/>
          <w:sz w:val="28"/>
          <w:szCs w:val="28"/>
          <w:highlight w:val="none"/>
        </w:rPr>
        <w:t>附件3：</w:t>
      </w:r>
      <w:r>
        <w:rPr>
          <w:rFonts w:hint="eastAsia"/>
          <w:b/>
          <w:kern w:val="0"/>
          <w:sz w:val="28"/>
          <w:szCs w:val="28"/>
          <w:highlight w:val="none"/>
          <w:lang w:eastAsia="zh-CN"/>
        </w:rPr>
        <w:t>响应</w:t>
      </w:r>
      <w:r>
        <w:rPr>
          <w:b/>
          <w:kern w:val="0"/>
          <w:sz w:val="28"/>
          <w:szCs w:val="28"/>
          <w:highlight w:val="none"/>
        </w:rPr>
        <w:t>单位登记表</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rPr>
          <w:highlight w:val="none"/>
        </w:rPr>
      </w:pPr>
    </w:p>
    <w:tbl>
      <w:tblPr>
        <w:tblStyle w:val="30"/>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与本项目有关产品介绍</w:t>
            </w:r>
            <w:r>
              <w:rPr>
                <w:rFonts w:hint="eastAsia" w:ascii="宋体" w:hAnsi="宋体" w:eastAsia="宋体" w:cs="宋体"/>
                <w:szCs w:val="21"/>
                <w:highlight w:val="none"/>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bl>
    <w:p>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注：请供应商应严格按此表格式样填写，以便资料统计。</w:t>
      </w:r>
    </w:p>
    <w:p>
      <w:pPr>
        <w:spacing w:line="360" w:lineRule="auto"/>
        <w:rPr>
          <w:rFonts w:ascii="仿宋" w:hAnsi="仿宋" w:eastAsia="仿宋"/>
          <w:sz w:val="18"/>
          <w:szCs w:val="18"/>
          <w:highlight w:val="none"/>
        </w:rPr>
        <w:sectPr>
          <w:pgSz w:w="11906" w:h="16838"/>
          <w:pgMar w:top="1417" w:right="1701" w:bottom="1417" w:left="1701" w:header="851" w:footer="992" w:gutter="0"/>
          <w:pgNumType w:fmt="decimal"/>
          <w:cols w:space="720" w:num="1"/>
          <w:docGrid w:type="linesAndChars" w:linePitch="289" w:charSpace="-1844"/>
        </w:sectPr>
      </w:pPr>
      <w:r>
        <w:rPr>
          <w:rFonts w:hint="eastAsia" w:ascii="宋体" w:hAnsi="宋体" w:eastAsia="宋体" w:cs="宋体"/>
          <w:sz w:val="18"/>
          <w:szCs w:val="18"/>
          <w:highlight w:val="none"/>
        </w:rPr>
        <w:t xml:space="preserve">  </w:t>
      </w:r>
    </w:p>
    <w:p>
      <w:pPr>
        <w:pStyle w:val="3"/>
        <w:keepNext/>
        <w:widowControl/>
        <w:autoSpaceDE w:val="0"/>
        <w:autoSpaceDN w:val="0"/>
        <w:adjustRightInd w:val="0"/>
        <w:snapToGrid w:val="0"/>
        <w:spacing w:line="360" w:lineRule="auto"/>
        <w:textAlignment w:val="baseline"/>
        <w:rPr>
          <w:b/>
          <w:kern w:val="0"/>
          <w:sz w:val="28"/>
          <w:szCs w:val="28"/>
          <w:highlight w:val="none"/>
        </w:rPr>
      </w:pPr>
      <w:bookmarkStart w:id="100" w:name="_Toc13575"/>
      <w:bookmarkStart w:id="101" w:name="_Toc3288"/>
      <w:bookmarkStart w:id="102" w:name="_Toc23947"/>
      <w:bookmarkStart w:id="103" w:name="_Toc23743"/>
      <w:bookmarkStart w:id="104" w:name="_Toc14650"/>
      <w:bookmarkStart w:id="105" w:name="_Toc23998"/>
      <w:bookmarkStart w:id="106" w:name="_Toc17474"/>
      <w:bookmarkStart w:id="107" w:name="_Toc22604"/>
      <w:bookmarkStart w:id="108" w:name="_Toc29165"/>
      <w:bookmarkStart w:id="109" w:name="_Toc25563"/>
      <w:bookmarkStart w:id="110" w:name="_Toc31166"/>
      <w:bookmarkStart w:id="111" w:name="_Toc3150"/>
      <w:bookmarkStart w:id="112" w:name="_Toc5056"/>
      <w:bookmarkStart w:id="113" w:name="_Toc21368"/>
      <w:r>
        <w:rPr>
          <w:b/>
          <w:kern w:val="0"/>
          <w:sz w:val="28"/>
          <w:szCs w:val="28"/>
          <w:highlight w:val="none"/>
        </w:rPr>
        <w:t>附件4：业绩汇总表</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spacing w:line="360" w:lineRule="auto"/>
        <w:ind w:right="960"/>
        <w:rPr>
          <w:rFonts w:eastAsia="仿宋_GB2312"/>
          <w:highlight w:val="none"/>
        </w:rPr>
      </w:pPr>
    </w:p>
    <w:tbl>
      <w:tblPr>
        <w:tblStyle w:val="30"/>
        <w:tblW w:w="141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6"/>
        <w:gridCol w:w="1573"/>
        <w:gridCol w:w="1575"/>
        <w:gridCol w:w="1573"/>
        <w:gridCol w:w="1733"/>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用户单位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货物名称</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型号规格/主要指标</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数量</w:t>
            </w:r>
          </w:p>
        </w:tc>
        <w:tc>
          <w:tcPr>
            <w:tcW w:w="1575"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合同签</w:t>
            </w:r>
          </w:p>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交货时间</w:t>
            </w:r>
          </w:p>
        </w:tc>
        <w:tc>
          <w:tcPr>
            <w:tcW w:w="173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highlight w:val="none"/>
              </w:rPr>
            </w:pP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highlight w:val="none"/>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bl>
    <w:p>
      <w:pPr>
        <w:spacing w:line="360" w:lineRule="auto"/>
        <w:ind w:right="960"/>
        <w:rPr>
          <w:rFonts w:hint="eastAsia" w:ascii="宋体" w:hAnsi="宋体" w:eastAsia="宋体" w:cs="宋体"/>
          <w:highlight w:val="none"/>
        </w:rPr>
      </w:pPr>
    </w:p>
    <w:p>
      <w:pPr>
        <w:spacing w:line="360" w:lineRule="auto"/>
        <w:ind w:right="960"/>
        <w:rPr>
          <w:rFonts w:hint="eastAsia" w:eastAsia="仿宋_GB2312"/>
          <w:sz w:val="24"/>
          <w:highlight w:val="none"/>
        </w:rPr>
      </w:pPr>
      <w:r>
        <w:rPr>
          <w:rFonts w:hint="eastAsia" w:ascii="宋体" w:hAnsi="宋体" w:eastAsia="宋体" w:cs="宋体"/>
          <w:highlight w:val="none"/>
        </w:rPr>
        <w:t>注：</w:t>
      </w:r>
      <w:r>
        <w:rPr>
          <w:rFonts w:hint="eastAsia" w:ascii="宋体" w:hAnsi="宋体" w:cs="宋体"/>
          <w:highlight w:val="none"/>
          <w:lang w:eastAsia="zh-CN"/>
        </w:rPr>
        <w:t>要求提供近三年</w:t>
      </w:r>
      <w:r>
        <w:rPr>
          <w:rFonts w:hint="eastAsia" w:ascii="宋体" w:hAnsi="宋体" w:eastAsia="宋体" w:cs="宋体"/>
          <w:highlight w:val="none"/>
        </w:rPr>
        <w:t>业绩</w:t>
      </w:r>
      <w:r>
        <w:rPr>
          <w:rFonts w:hint="eastAsia" w:ascii="宋体" w:hAnsi="宋体" w:cs="宋体"/>
          <w:highlight w:val="none"/>
          <w:lang w:eastAsia="zh-CN"/>
        </w:rPr>
        <w:t>，上线为三个，后附有效合同或用户证明</w:t>
      </w:r>
      <w:r>
        <w:rPr>
          <w:rFonts w:hint="eastAsia" w:ascii="宋体" w:hAnsi="宋体" w:eastAsia="宋体" w:cs="宋体"/>
          <w:highlight w:val="none"/>
        </w:rPr>
        <w:t>。</w:t>
      </w:r>
    </w:p>
    <w:p>
      <w:pPr>
        <w:spacing w:line="360" w:lineRule="auto"/>
        <w:ind w:right="960" w:firstLine="6565" w:firstLineChars="2842"/>
        <w:rPr>
          <w:rFonts w:hint="eastAsia" w:eastAsia="仿宋_GB2312"/>
          <w:sz w:val="24"/>
          <w:highlight w:val="none"/>
        </w:rPr>
      </w:pPr>
    </w:p>
    <w:p>
      <w:pPr>
        <w:spacing w:line="360" w:lineRule="auto"/>
        <w:ind w:right="960" w:firstLine="6565" w:firstLineChars="2842"/>
        <w:rPr>
          <w:rFonts w:hint="eastAsia" w:eastAsia="仿宋_GB2312"/>
          <w:sz w:val="24"/>
          <w:highlight w:val="none"/>
        </w:rPr>
      </w:pPr>
    </w:p>
    <w:p>
      <w:pPr>
        <w:spacing w:line="360" w:lineRule="auto"/>
        <w:ind w:right="960" w:firstLine="6565" w:firstLineChars="2842"/>
        <w:rPr>
          <w:rFonts w:hint="eastAsia" w:ascii="宋体" w:hAnsi="宋体" w:eastAsia="宋体" w:cs="宋体"/>
          <w:sz w:val="24"/>
          <w:highlight w:val="none"/>
        </w:rPr>
      </w:pPr>
    </w:p>
    <w:p>
      <w:pPr>
        <w:spacing w:line="360" w:lineRule="auto"/>
        <w:ind w:right="960"/>
        <w:jc w:val="right"/>
        <w:rPr>
          <w:rFonts w:hint="eastAsia" w:ascii="宋体" w:hAnsi="宋体" w:eastAsia="宋体" w:cs="宋体"/>
          <w:sz w:val="24"/>
          <w:highlight w:val="none"/>
        </w:rPr>
      </w:pPr>
      <w:r>
        <w:rPr>
          <w:rFonts w:hint="eastAsia" w:ascii="宋体" w:hAnsi="宋体" w:cs="宋体"/>
          <w:sz w:val="24"/>
          <w:highlight w:val="none"/>
          <w:lang w:eastAsia="zh-CN"/>
        </w:rPr>
        <w:t>供应商公</w:t>
      </w:r>
      <w:r>
        <w:rPr>
          <w:rFonts w:hint="eastAsia" w:ascii="宋体" w:hAnsi="宋体" w:eastAsia="宋体" w:cs="宋体"/>
          <w:sz w:val="24"/>
          <w:highlight w:val="none"/>
        </w:rPr>
        <w:t>章</w:t>
      </w:r>
    </w:p>
    <w:p>
      <w:pPr>
        <w:spacing w:line="360" w:lineRule="auto"/>
        <w:ind w:right="960"/>
        <w:jc w:val="right"/>
        <w:rPr>
          <w:rFonts w:hint="eastAsia" w:ascii="宋体" w:hAnsi="宋体" w:eastAsia="宋体" w:cs="宋体"/>
          <w:sz w:val="24"/>
          <w:highlight w:val="none"/>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highlight w:val="none"/>
        </w:rPr>
        <w:t>年  月  日</w:t>
      </w:r>
    </w:p>
    <w:bookmarkEnd w:id="42"/>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highlight w:val="none"/>
          <w:lang w:eastAsia="zh-CN"/>
        </w:rPr>
      </w:pPr>
      <w:r>
        <w:rPr>
          <w:rFonts w:hint="eastAsia" w:ascii="宋体" w:cs="宋体"/>
          <w:b/>
          <w:bCs/>
          <w:snapToGrid w:val="0"/>
          <w:kern w:val="0"/>
          <w:sz w:val="44"/>
          <w:szCs w:val="44"/>
          <w:highlight w:val="none"/>
          <w:lang w:eastAsia="zh-CN"/>
        </w:rPr>
        <w:t>第三章</w:t>
      </w:r>
      <w:r>
        <w:rPr>
          <w:rFonts w:hint="eastAsia" w:ascii="宋体" w:cs="宋体"/>
          <w:b/>
          <w:bCs/>
          <w:snapToGrid w:val="0"/>
          <w:kern w:val="0"/>
          <w:sz w:val="44"/>
          <w:szCs w:val="44"/>
          <w:highlight w:val="none"/>
          <w:lang w:val="en-US" w:eastAsia="zh-CN"/>
        </w:rPr>
        <w:t xml:space="preserve"> </w:t>
      </w:r>
      <w:r>
        <w:rPr>
          <w:rFonts w:hint="eastAsia" w:ascii="宋体" w:cs="宋体"/>
          <w:b/>
          <w:bCs/>
          <w:snapToGrid w:val="0"/>
          <w:kern w:val="0"/>
          <w:sz w:val="44"/>
          <w:szCs w:val="44"/>
          <w:highlight w:val="none"/>
          <w:lang w:eastAsia="zh-CN"/>
        </w:rPr>
        <w:t>设备清单</w:t>
      </w:r>
    </w:p>
    <w:p>
      <w:pPr>
        <w:rPr>
          <w:rFonts w:hint="default"/>
          <w:highlight w:val="none"/>
          <w:lang w:val="en-US" w:eastAsia="zh-CN"/>
        </w:rPr>
        <w:sectPr>
          <w:headerReference r:id="rId9" w:type="default"/>
          <w:footerReference r:id="rId10"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30"/>
        <w:tblW w:w="14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2"/>
        <w:gridCol w:w="2805"/>
        <w:gridCol w:w="1980"/>
        <w:gridCol w:w="4875"/>
        <w:gridCol w:w="1095"/>
        <w:gridCol w:w="1005"/>
        <w:gridCol w:w="82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20" w:hRule="atLeast"/>
        </w:trPr>
        <w:tc>
          <w:tcPr>
            <w:tcW w:w="14042"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应急物资采购项目（十七）换热站设备-水箱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序号</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站名</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E地块一期东</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玻璃钢开式水箱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1800X1200X1200mm V=2m 03R401 P19</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F地块二期B热力站</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容积3m ,2000X1400X1400mm   12S101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B地块一期</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容积3m 2100X1600X1050mm  12S101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G地块一地块</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容积3m 2000X1500X1000mm  12S101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4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E地块二期2地块</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2000×2000×1000mm  V=4m</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12S101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G地块三地块</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容积4m 2000X2000X1000mm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A地块二期</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容积4m 2000X2000X1000mm  12S101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A地块一期</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容积4m 2000X2000X1000mm  12S101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D地块A区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软化水箱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容积4m 2000X1600X1500mm  12S101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D地块B区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软化水箱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容积4m 2000X1600X1500mm  12S101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D地块C区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软化水箱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容积4m 2000X1600X1500mm  12S101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C地块A区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容积5m 2000X2000X1500mm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E地块二期一地块</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玻璃钢开式水箱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2200×1800×1500mm  V=5m 03R401 P24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E地块一期西</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玻璃钢开式水箱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2200×1800×1500mm  V=5m 03R401 P24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F地块二期A热力站</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容积5m ,2200X1800X1500mm   12S101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F地块二期E热力站</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容积5m ,2000X2000X1500mm 12S101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B地块二期东</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容积5m 2400X1600X1500mm  12S101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B地块二期西</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容积5m 2100X1600X1050mm  12S101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S地块一期热力站</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容积5m    2400X1600X1500mm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F地块二期C地块热力站</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不锈钢补水箱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容积6m    2000X2000X1500mm  12S101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C地块B区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容积8m 2000X2000X2000mm</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E地块二期3地块</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不锈钢补水箱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2000×2000×2000mm  V=8m 12S101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X地块</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补水箱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容积8m 2000X2000X2000mm  12S101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60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28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F地块一期热力站</w:t>
            </w:r>
          </w:p>
        </w:tc>
        <w:tc>
          <w:tcPr>
            <w:tcW w:w="19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补水箱</w:t>
            </w:r>
          </w:p>
        </w:tc>
        <w:tc>
          <w:tcPr>
            <w:tcW w:w="48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容积10m ,2800X2200X2000mm   12S101</w:t>
            </w:r>
          </w:p>
        </w:tc>
        <w:tc>
          <w:tcPr>
            <w:tcW w:w="109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0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5"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bl>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tbl>
      <w:tblPr>
        <w:tblStyle w:val="30"/>
        <w:tblW w:w="132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3"/>
        <w:gridCol w:w="2028"/>
        <w:gridCol w:w="956"/>
        <w:gridCol w:w="6082"/>
        <w:gridCol w:w="850"/>
        <w:gridCol w:w="866"/>
        <w:gridCol w:w="967"/>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40" w:hRule="atLeast"/>
        </w:trPr>
        <w:tc>
          <w:tcPr>
            <w:tcW w:w="1323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应急物资采购项目（十七）换热站设备-分集水器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站名</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6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77"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E地块二期2地块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分水器</w:t>
            </w:r>
          </w:p>
        </w:tc>
        <w:tc>
          <w:tcPr>
            <w:tcW w:w="6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筒体直径DN500，压力1.6MPa，带压力表与温度表接口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总管 ∅273X6，分支一∅159X5，分之二∅273X6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排污口∅108X4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44"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E地块二期2地块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集水器</w:t>
            </w:r>
          </w:p>
        </w:tc>
        <w:tc>
          <w:tcPr>
            <w:tcW w:w="6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筒体直径DN500，压力1.6MPa，带压力表与温度表接口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总管 ∅273X6，分支一∅159X5，分之二∅273X6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排污口∅108X4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09"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E地块一期东</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分水器</w:t>
            </w:r>
          </w:p>
        </w:tc>
        <w:tc>
          <w:tcPr>
            <w:tcW w:w="6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筒体直径DN500，压力1.6MPa，带压力表与温度表接口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总管 ∅273X6，分支一∅159X5，分之二∅219X6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排污口∅108X4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55"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E地块一期东</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集水器</w:t>
            </w:r>
          </w:p>
        </w:tc>
        <w:tc>
          <w:tcPr>
            <w:tcW w:w="6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筒体直径DN500，压力1.6MPa，带压力表与温度表接口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总管 ∅273X6，分支一∅159X5，分之二∅219X6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排污口∅108X4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71"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E地块二期3地块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分水器</w:t>
            </w:r>
          </w:p>
        </w:tc>
        <w:tc>
          <w:tcPr>
            <w:tcW w:w="6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筒体直径DN600，压力1.6MPa，带压力表与温度表接口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总管 ∅273X6，分支一∅159X5，分之二∅273X6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排污口∅108X4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72"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E地块二期3地块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集水器</w:t>
            </w:r>
          </w:p>
        </w:tc>
        <w:tc>
          <w:tcPr>
            <w:tcW w:w="6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筒体直径DN600，压力1.6MPa，带压力表与温度表接口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总管 ∅273X6，分支一∅159X5，分之二∅273X6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排污口∅108X4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38"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E地块二期一地块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分水器</w:t>
            </w:r>
          </w:p>
        </w:tc>
        <w:tc>
          <w:tcPr>
            <w:tcW w:w="6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筒体直径DN600，压力1.6MPa，带压力表与温度表接口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总管 ∅325X7，分支一∅219X6，分之二∅273X6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排污口∅108X4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72"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E地块二期一地块</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集水器</w:t>
            </w:r>
          </w:p>
        </w:tc>
        <w:tc>
          <w:tcPr>
            <w:tcW w:w="6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筒体直径DN600，压力1.6MPa，带压力表与温度表接口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总管 ∅325X7，分支一∅219X6，分之二∅273X6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排污口∅108X4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5"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E地块一期西</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分水器</w:t>
            </w:r>
          </w:p>
        </w:tc>
        <w:tc>
          <w:tcPr>
            <w:tcW w:w="6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筒体直径DN600，压力1.6MPa，带压力表与温度表接口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总管 ∅325X7，分支一∅219X6，分之二∅273X6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排污口∅108X4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88"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E地块一期西</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集水器</w:t>
            </w:r>
          </w:p>
        </w:tc>
        <w:tc>
          <w:tcPr>
            <w:tcW w:w="6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筒体直径DN600，压力1.6MPa，带压力表与温度表接口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总管 ∅325X7，分支一∅219X6，分之二∅273X6</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排污口∅108X4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tbl>
      <w:tblPr>
        <w:tblStyle w:val="30"/>
        <w:tblW w:w="135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1"/>
        <w:gridCol w:w="2197"/>
        <w:gridCol w:w="3000"/>
        <w:gridCol w:w="3000"/>
        <w:gridCol w:w="1365"/>
        <w:gridCol w:w="860"/>
        <w:gridCol w:w="1264"/>
        <w:gridCol w:w="600"/>
        <w:gridCol w:w="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40" w:hRule="atLeast"/>
        </w:trPr>
        <w:tc>
          <w:tcPr>
            <w:tcW w:w="1359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应急物资采购项目（十七）换热站设备-除污器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站名</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耐温等级</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C地块A区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P=1.6MPa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C地块A区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P=1.6MPa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C地块A区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P=2.5MPa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130℃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C地块B区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P=1.6MPa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C地块B区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P=1.6MPa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C地块B区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P=2.5MPa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130℃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E地块二期2地块</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P=2.5MPa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E地块二期2地块</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P=1.6MPa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E地块二期3地块</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DN300  P=2.5MPa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E地块二期3地块</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DN300  P=1.6MPa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E地块二期一地块</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DN300  P=2.5MPa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E地块二期一地块</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DN300  P=1.6MPa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E地块一期东</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P=2.5MPa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E地块一期东</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P=1.6MPa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E地块一期西</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DN300 P=2.5MPa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E地块一期西</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DN300  P=1.6MPa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F地块一期热力站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卧式角通反冲洗除污器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DN400 PN10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F地块一期热力站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卧式角通反冲洗除污器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DN350 PN16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F地块一期热力站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卧式角通反冲洗除污器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PN16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F地块二期A热力站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卧式角通反冲洗除污器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DN400 PN16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F地块二期A热力站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卧式角通反冲洗除污器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DN350 PN16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F地块二期A热力站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卧式角通反冲洗除污器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PN16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F地块二期B热力站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卧式角通反冲洗除污器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DN350 PN16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F地块二期B热力站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卧式角通反冲洗除污器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DN300 PN16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F地块二期B热力站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卧式角通反冲洗除污器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PN16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F地块二期C地块热力站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低区卧式角通反冲洗除污器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PN16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F地块二期C地块热力站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高区卧式角通反冲洗除污器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PN16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F地块二期C地块热力站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一级卧式角通反冲洗除污器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DN350 PN16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F地块二期E热力站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低区卧式直角反冲洗除污器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PN16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F地块二期E热力站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高区卧式角通反冲洗除污器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PN16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F地块二期E热力站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一级卧式角通反冲洗除污器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DN350 PN16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B地块二期东</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P=2.5MPa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B地块二期西</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P=2.5MPa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B地块一期</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P=2.5MPa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G地块三地块</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低区反冲洗除污器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P=1.6MPa   角通式</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G地块三地块</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高区反冲洗除污器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P=1.6MPa  角通式</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G地块三地块</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角通式反冲洗除污器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P=2.5MPa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130℃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G地块一地块</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低区反冲洗除污器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P=1.6MPa角通式</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G地块一地块</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高区反冲洗除污器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P=1.6MPa  角通式</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G地块一地块</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角通式反冲洗除污器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P=2.5MPa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130℃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A地块回迁二期</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低区反冲洗除污器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DN300  P=1.6MPa角通式</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A地块回迁二期</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高区反冲洗除污器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P=1.6MPa  角通式</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A地块回迁二期</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角通式反冲洗除污器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P=2.5MPa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130℃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A地块回迁一期</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P=1.6MPa  角通式</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A地块回迁一期</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P=1.6MPa  角通式</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A地块回迁一期</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P=2.5MPa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130℃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S地块一期热力站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低区反冲洗除污器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DN300  P=1.6MPa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S地块一期热力站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高区反冲洗除污器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DN200  </w:t>
            </w:r>
            <w:r>
              <w:rPr>
                <w:rFonts w:hint="eastAsia" w:ascii="宋体" w:hAnsi="宋体" w:eastAsia="宋体" w:cs="宋体"/>
                <w:i w:val="0"/>
                <w:color w:val="auto"/>
                <w:kern w:val="0"/>
                <w:sz w:val="24"/>
                <w:szCs w:val="24"/>
                <w:u w:val="none"/>
                <w:lang w:val="en-US" w:eastAsia="zh-CN" w:bidi="ar"/>
              </w:rPr>
              <w:t>P=1.6MPa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S地块一期热力站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P=2.5MPa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130℃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X地块</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低区反冲洗除污器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DN250  P=1.6MPa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X地块</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高区反冲洗除污器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P=1.6MPa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X地块</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P=2.5MPa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D地块A区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P=1.6MPa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D地块A区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P=1.6MPa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D地块A区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P=2.5MPa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D地块B区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P=1.6MPa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D地块B区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P=1.6MPa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D地块B区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P=2.5MPa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D地块C区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DN300  P=1.6MPa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D地块C区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P=1.6MPa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r>
              <w:rPr>
                <w:rFonts w:ascii="宋体" w:hAnsi="宋体" w:eastAsia="宋体" w:cs="宋体"/>
                <w:i w:val="0"/>
                <w:color w:val="000000"/>
                <w:kern w:val="0"/>
                <w:sz w:val="24"/>
                <w:szCs w:val="24"/>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D地块C区</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一次侧反冲洗除污器</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P=2.5MPa</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4"/>
                <w:szCs w:val="24"/>
                <w:u w:val="none"/>
              </w:rPr>
            </w:pPr>
            <w:r>
              <w:rPr>
                <w:rFonts w:ascii="宋体" w:hAnsi="宋体" w:eastAsia="宋体" w:cs="宋体"/>
                <w:i w:val="0"/>
                <w:color w:val="000000"/>
                <w:kern w:val="0"/>
                <w:sz w:val="24"/>
                <w:szCs w:val="24"/>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359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注：以上除污器均为30目，除污器阻力损失</w:t>
            </w:r>
            <w:r>
              <w:rPr>
                <w:rFonts w:ascii="宋体" w:hAnsi="宋体" w:eastAsia="宋体" w:cs="宋体"/>
                <w:i w:val="0"/>
                <w:color w:val="000000"/>
                <w:kern w:val="0"/>
                <w:sz w:val="24"/>
                <w:szCs w:val="24"/>
                <w:u w:val="none"/>
                <w:lang w:val="en-US" w:eastAsia="zh-CN" w:bidi="ar"/>
              </w:rPr>
              <w:t>≦</w:t>
            </w:r>
            <w:r>
              <w:rPr>
                <w:rStyle w:val="69"/>
                <w:lang w:val="en-US" w:eastAsia="zh-CN" w:bidi="ar"/>
              </w:rPr>
              <w:t>1.2Kpa</w:t>
            </w:r>
          </w:p>
        </w:tc>
      </w:tr>
    </w:tbl>
    <w:p>
      <w:pPr>
        <w:pStyle w:val="2"/>
        <w:rPr>
          <w:rFonts w:hint="default"/>
          <w:lang w:val="en-US" w:eastAsia="zh-CN"/>
        </w:rPr>
        <w:sectPr>
          <w:pgSz w:w="16838" w:h="11906" w:orient="landscape"/>
          <w:pgMar w:top="1797" w:right="1380" w:bottom="1558" w:left="1440"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p>
    <w:tbl>
      <w:tblPr>
        <w:tblStyle w:val="30"/>
        <w:tblW w:w="136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9"/>
        <w:gridCol w:w="5019"/>
        <w:gridCol w:w="1763"/>
        <w:gridCol w:w="2758"/>
        <w:gridCol w:w="769"/>
        <w:gridCol w:w="769"/>
        <w:gridCol w:w="769"/>
        <w:gridCol w:w="767"/>
        <w:gridCol w:w="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3383"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应急物资采购项目（十七）换热站设备-Y型过滤器</w:t>
            </w: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5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站名</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C地块A区</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P=1.6MPa</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P=2.5MPa</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P=1.6MPa</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DN100  P=2.5MPa</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C地块B区</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P=1.6MPa</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P=2.5MPa</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P=1.6MPa</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DN100  P=2.5MPa</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E地块回迁区二期2地块</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DN50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DN50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E地块回迁区二期3地块</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DN300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DN65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DN65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5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E地块回迁区二期一地块</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DN300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DN300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DN65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DN65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5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E地块回迁区一期东</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DN50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DN50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5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E地块回迁区一期西</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DN300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DN300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DN65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DN65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5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F地块回迁区一期热力站</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DN350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5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F地块回迁区二期A热力站</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DN350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5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F地块回迁区二期B热力站</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DN300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5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F地块回迁区二期C地块热力站</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5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F地块回迁区二期E热力站</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5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G地块三地块</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DN125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5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G地块一地块</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DN125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5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A地块回迁二期</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DN300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5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A地块回迁一期</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DN125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5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S地块一期热力站</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DN80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DN300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5019" w:type="dxa"/>
            <w:vMerge w:val="restar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X地块</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P=2.5MPa</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P=2.5MPa</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P=1.6MPa</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5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D地块A区</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DN250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DN150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DN80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5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D地块B区</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DN300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DN100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50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D地块C区</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DN300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PN16</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DN200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Y型过滤器</w:t>
            </w: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DN100 PN25</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651"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注：Y型过滤器外壳体材质：铸钢   过滤网及滤网转轴：不锈钢</w:t>
            </w:r>
          </w:p>
        </w:tc>
      </w:tr>
    </w:tbl>
    <w:p>
      <w:pPr>
        <w:rPr>
          <w:rFonts w:hint="default"/>
          <w:lang w:val="en-US" w:eastAsia="zh-CN"/>
        </w:rPr>
        <w:sectPr>
          <w:pgSz w:w="16838" w:h="11906" w:orient="landscape"/>
          <w:pgMar w:top="1797" w:right="1380" w:bottom="1558" w:left="1440"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其他要求</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本项目为设备采购，需配备安装技术指导人员，并配合调试；</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配送地点：甲方制定地点；</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生产周期：</w:t>
      </w:r>
      <w:bookmarkStart w:id="114" w:name="_GoBack"/>
      <w:bookmarkEnd w:id="114"/>
      <w:r>
        <w:rPr>
          <w:rFonts w:hint="eastAsia" w:ascii="宋体" w:hAnsi="宋体" w:eastAsia="宋体" w:cs="宋体"/>
          <w:sz w:val="24"/>
          <w:szCs w:val="24"/>
          <w:lang w:val="en-US" w:eastAsia="zh-CN"/>
        </w:rPr>
        <w:t>20天内配送到位</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质保要求：两个采暖季；</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后期维护：发生故障需24小时内达到维修地点。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以上为最低要求，请响应单位进行明确响应，包含且不止包含上述信息，可添加其他企业优势。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sectPr>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4"/>
      </w:rPr>
    </w:pPr>
    <w:r>
      <w:rPr>
        <w:rStyle w:val="34"/>
      </w:rPr>
      <w:fldChar w:fldCharType="begin"/>
    </w:r>
    <w:r>
      <w:rPr>
        <w:rStyle w:val="34"/>
      </w:rPr>
      <w:instrText xml:space="preserve">PAGE  </w:instrText>
    </w:r>
    <w:r>
      <w:fldChar w:fldCharType="end"/>
    </w:r>
  </w:p>
  <w:p>
    <w:pPr>
      <w:pStyle w:val="18"/>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Style w:val="34"/>
      </w:rPr>
    </w:pPr>
  </w:p>
  <w:p>
    <w:pPr>
      <w:pStyle w:val="18"/>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Style w:val="34"/>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8"/>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AA7220"/>
    <w:multiLevelType w:val="singleLevel"/>
    <w:tmpl w:val="A5AA7220"/>
    <w:lvl w:ilvl="0" w:tentative="0">
      <w:start w:val="1"/>
      <w:numFmt w:val="decimal"/>
      <w:suff w:val="nothing"/>
      <w:lvlText w:val="%1、"/>
      <w:lvlJc w:val="left"/>
    </w:lvl>
  </w:abstractNum>
  <w:abstractNum w:abstractNumId="1">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6"/>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GNiYzE2YzI1YjYwZTg0OTI3MWY0NzcxZTA1NjQifQ=="/>
    <w:docVar w:name="KSO_WPS_MARK_KEY" w:val="c60f05b6-fd62-49c9-8486-8d81c4828979"/>
  </w:docVars>
  <w:rsids>
    <w:rsidRoot w:val="00172A27"/>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43790A"/>
    <w:rsid w:val="05E56337"/>
    <w:rsid w:val="064F371E"/>
    <w:rsid w:val="06A421B1"/>
    <w:rsid w:val="071C62F3"/>
    <w:rsid w:val="078205D8"/>
    <w:rsid w:val="07AD2313"/>
    <w:rsid w:val="082F0506"/>
    <w:rsid w:val="08574DA4"/>
    <w:rsid w:val="085A16E6"/>
    <w:rsid w:val="08AB5CD9"/>
    <w:rsid w:val="091D48F5"/>
    <w:rsid w:val="09224B6A"/>
    <w:rsid w:val="09D05701"/>
    <w:rsid w:val="0AAE67FF"/>
    <w:rsid w:val="0AEC6CAF"/>
    <w:rsid w:val="0B5307DA"/>
    <w:rsid w:val="0B712E56"/>
    <w:rsid w:val="0C990F8A"/>
    <w:rsid w:val="0D14316F"/>
    <w:rsid w:val="0D876CBA"/>
    <w:rsid w:val="0DA00925"/>
    <w:rsid w:val="0DBF7032"/>
    <w:rsid w:val="0E1B0EA6"/>
    <w:rsid w:val="0E9D221C"/>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1D222D"/>
    <w:rsid w:val="157E0840"/>
    <w:rsid w:val="15AA4F76"/>
    <w:rsid w:val="15F351FA"/>
    <w:rsid w:val="16220065"/>
    <w:rsid w:val="164A1CD1"/>
    <w:rsid w:val="16E10D15"/>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CC6E1A"/>
    <w:rsid w:val="1FE33732"/>
    <w:rsid w:val="203D0730"/>
    <w:rsid w:val="205078D8"/>
    <w:rsid w:val="205473B1"/>
    <w:rsid w:val="21225553"/>
    <w:rsid w:val="21267D7A"/>
    <w:rsid w:val="214160AD"/>
    <w:rsid w:val="21A93E7A"/>
    <w:rsid w:val="21AD4385"/>
    <w:rsid w:val="225879C6"/>
    <w:rsid w:val="231F5584"/>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8B7060A"/>
    <w:rsid w:val="294D7406"/>
    <w:rsid w:val="29A15441"/>
    <w:rsid w:val="29CA2DA3"/>
    <w:rsid w:val="29E91624"/>
    <w:rsid w:val="2A2048B5"/>
    <w:rsid w:val="2AAA670E"/>
    <w:rsid w:val="2B4C7E2E"/>
    <w:rsid w:val="2BD30B41"/>
    <w:rsid w:val="2C281B8C"/>
    <w:rsid w:val="2C397C45"/>
    <w:rsid w:val="2C7951FF"/>
    <w:rsid w:val="2C923835"/>
    <w:rsid w:val="2C9906FF"/>
    <w:rsid w:val="2E213C76"/>
    <w:rsid w:val="2E5D0A5B"/>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9C845AE"/>
    <w:rsid w:val="3A606D7A"/>
    <w:rsid w:val="3B012803"/>
    <w:rsid w:val="3B2751C2"/>
    <w:rsid w:val="3B397BA7"/>
    <w:rsid w:val="3BBB55E3"/>
    <w:rsid w:val="3C8C7225"/>
    <w:rsid w:val="3D88099C"/>
    <w:rsid w:val="3DD54F36"/>
    <w:rsid w:val="3E1259E6"/>
    <w:rsid w:val="3E496F28"/>
    <w:rsid w:val="3EEA594A"/>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4CA379D"/>
    <w:rsid w:val="4505389D"/>
    <w:rsid w:val="452651A4"/>
    <w:rsid w:val="452C0160"/>
    <w:rsid w:val="45385CCE"/>
    <w:rsid w:val="459B7A42"/>
    <w:rsid w:val="45A605E7"/>
    <w:rsid w:val="461A12BE"/>
    <w:rsid w:val="47704046"/>
    <w:rsid w:val="480334F0"/>
    <w:rsid w:val="482E2F2F"/>
    <w:rsid w:val="48D34972"/>
    <w:rsid w:val="4941138A"/>
    <w:rsid w:val="498C1BA2"/>
    <w:rsid w:val="4A762F90"/>
    <w:rsid w:val="4A8B1FC5"/>
    <w:rsid w:val="4B661C92"/>
    <w:rsid w:val="4B6E6CEA"/>
    <w:rsid w:val="4BB539AE"/>
    <w:rsid w:val="4C506FCB"/>
    <w:rsid w:val="4CC7727B"/>
    <w:rsid w:val="4CEE32D0"/>
    <w:rsid w:val="4D8013DC"/>
    <w:rsid w:val="4DBC5D36"/>
    <w:rsid w:val="4DC6375B"/>
    <w:rsid w:val="4E0C7D0E"/>
    <w:rsid w:val="4EDE1DEA"/>
    <w:rsid w:val="4F892E20"/>
    <w:rsid w:val="4F8945F8"/>
    <w:rsid w:val="4F9B4186"/>
    <w:rsid w:val="50A1697F"/>
    <w:rsid w:val="53512668"/>
    <w:rsid w:val="53691AF0"/>
    <w:rsid w:val="54B421E6"/>
    <w:rsid w:val="54B61625"/>
    <w:rsid w:val="54E83815"/>
    <w:rsid w:val="562E6098"/>
    <w:rsid w:val="56B83928"/>
    <w:rsid w:val="57353861"/>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D23C79"/>
    <w:rsid w:val="6111655A"/>
    <w:rsid w:val="61337E51"/>
    <w:rsid w:val="613E5726"/>
    <w:rsid w:val="617A7CE6"/>
    <w:rsid w:val="623177E6"/>
    <w:rsid w:val="62370257"/>
    <w:rsid w:val="63082DBB"/>
    <w:rsid w:val="63A83FD4"/>
    <w:rsid w:val="63D20873"/>
    <w:rsid w:val="645A1998"/>
    <w:rsid w:val="64846DEA"/>
    <w:rsid w:val="649757C5"/>
    <w:rsid w:val="64C744EE"/>
    <w:rsid w:val="64D15C67"/>
    <w:rsid w:val="659C7156"/>
    <w:rsid w:val="65B8106A"/>
    <w:rsid w:val="65DB50D6"/>
    <w:rsid w:val="661C57FB"/>
    <w:rsid w:val="67AA1591"/>
    <w:rsid w:val="6823316B"/>
    <w:rsid w:val="68611634"/>
    <w:rsid w:val="68A56F0E"/>
    <w:rsid w:val="68B223A7"/>
    <w:rsid w:val="68CB7E58"/>
    <w:rsid w:val="68D2265B"/>
    <w:rsid w:val="6A7442CD"/>
    <w:rsid w:val="6A744995"/>
    <w:rsid w:val="6AE97BE4"/>
    <w:rsid w:val="6B1A4D7D"/>
    <w:rsid w:val="6B34798C"/>
    <w:rsid w:val="6BC210D8"/>
    <w:rsid w:val="6C1351C2"/>
    <w:rsid w:val="6C204E60"/>
    <w:rsid w:val="6C22249E"/>
    <w:rsid w:val="6C5F5C9E"/>
    <w:rsid w:val="6C863ABB"/>
    <w:rsid w:val="6C942CC0"/>
    <w:rsid w:val="6CC12AED"/>
    <w:rsid w:val="6CEA4018"/>
    <w:rsid w:val="6D0B319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B61455"/>
    <w:rsid w:val="73CF17A5"/>
    <w:rsid w:val="73D477C4"/>
    <w:rsid w:val="73DC47DB"/>
    <w:rsid w:val="73F3059D"/>
    <w:rsid w:val="742F670E"/>
    <w:rsid w:val="74605173"/>
    <w:rsid w:val="74E35547"/>
    <w:rsid w:val="74FE5644"/>
    <w:rsid w:val="757F19A8"/>
    <w:rsid w:val="75815B6D"/>
    <w:rsid w:val="759D050F"/>
    <w:rsid w:val="7618234F"/>
    <w:rsid w:val="762B360F"/>
    <w:rsid w:val="763751C0"/>
    <w:rsid w:val="76594111"/>
    <w:rsid w:val="76B13972"/>
    <w:rsid w:val="76B2161C"/>
    <w:rsid w:val="77C16373"/>
    <w:rsid w:val="785E1E3A"/>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6">
    <w:name w:val="heading 4"/>
    <w:basedOn w:val="1"/>
    <w:next w:val="1"/>
    <w:link w:val="61"/>
    <w:qFormat/>
    <w:uiPriority w:val="9"/>
    <w:pPr>
      <w:keepNext/>
      <w:keepLines/>
      <w:numPr>
        <w:ilvl w:val="3"/>
        <w:numId w:val="1"/>
      </w:numPr>
      <w:outlineLvl w:val="3"/>
    </w:pPr>
    <w:rPr>
      <w:rFonts w:eastAsia="仿宋" w:asciiTheme="majorHAnsi" w:hAnsiTheme="majorHAnsi" w:cstheme="majorBidi"/>
      <w:bCs/>
      <w:sz w:val="24"/>
      <w:szCs w:val="28"/>
    </w:rPr>
  </w:style>
  <w:style w:type="paragraph" w:styleId="7">
    <w:name w:val="heading 5"/>
    <w:basedOn w:val="1"/>
    <w:next w:val="1"/>
    <w:qFormat/>
    <w:uiPriority w:val="0"/>
    <w:pPr>
      <w:keepNext/>
      <w:keepLines/>
      <w:spacing w:before="280" w:after="290" w:line="377"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48"/>
    <w:qFormat/>
    <w:uiPriority w:val="99"/>
    <w:pPr>
      <w:spacing w:after="120"/>
    </w:pPr>
  </w:style>
  <w:style w:type="paragraph" w:styleId="8">
    <w:name w:val="Normal Indent"/>
    <w:basedOn w:val="1"/>
    <w:qFormat/>
    <w:uiPriority w:val="0"/>
    <w:pPr>
      <w:ind w:firstLine="420"/>
    </w:p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style>
  <w:style w:type="paragraph" w:styleId="11">
    <w:name w:val="Body Text 3"/>
    <w:basedOn w:val="1"/>
    <w:qFormat/>
    <w:uiPriority w:val="0"/>
    <w:rPr>
      <w:rFonts w:ascii="宋体"/>
      <w:sz w:val="24"/>
      <w:szCs w:val="20"/>
    </w:rPr>
  </w:style>
  <w:style w:type="paragraph" w:styleId="12">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13">
    <w:name w:val="index 4"/>
    <w:basedOn w:val="1"/>
    <w:next w:val="1"/>
    <w:qFormat/>
    <w:uiPriority w:val="0"/>
    <w:pPr>
      <w:ind w:left="600" w:leftChars="600"/>
    </w:pPr>
  </w:style>
  <w:style w:type="paragraph" w:styleId="14">
    <w:name w:val="toc 3"/>
    <w:basedOn w:val="1"/>
    <w:next w:val="1"/>
    <w:qFormat/>
    <w:uiPriority w:val="0"/>
    <w:pPr>
      <w:ind w:left="400" w:leftChars="400"/>
    </w:pPr>
  </w:style>
  <w:style w:type="paragraph" w:styleId="15">
    <w:name w:val="Plain Text"/>
    <w:basedOn w:val="1"/>
    <w:qFormat/>
    <w:uiPriority w:val="0"/>
    <w:pPr>
      <w:adjustRightInd w:val="0"/>
      <w:spacing w:line="312" w:lineRule="atLeast"/>
      <w:textAlignment w:val="baseline"/>
    </w:pPr>
    <w:rPr>
      <w:rFonts w:ascii="宋体"/>
      <w:kern w:val="0"/>
      <w:szCs w:val="20"/>
    </w:rPr>
  </w:style>
  <w:style w:type="paragraph" w:styleId="16">
    <w:name w:val="Date"/>
    <w:basedOn w:val="1"/>
    <w:next w:val="1"/>
    <w:qFormat/>
    <w:uiPriority w:val="0"/>
    <w:pPr>
      <w:ind w:left="2500" w:leftChars="2500"/>
    </w:pPr>
  </w:style>
  <w:style w:type="paragraph" w:styleId="17">
    <w:name w:val="Balloon Text"/>
    <w:basedOn w:val="1"/>
    <w:qFormat/>
    <w:uiPriority w:val="0"/>
    <w:rPr>
      <w:sz w:val="18"/>
      <w:szCs w:val="18"/>
    </w:rPr>
  </w:style>
  <w:style w:type="paragraph" w:styleId="18">
    <w:name w:val="footer"/>
    <w:basedOn w:val="1"/>
    <w:qFormat/>
    <w:uiPriority w:val="0"/>
    <w:pPr>
      <w:tabs>
        <w:tab w:val="center" w:pos="4153"/>
        <w:tab w:val="right" w:pos="8306"/>
      </w:tabs>
      <w:snapToGrid w:val="0"/>
      <w:jc w:val="left"/>
    </w:pPr>
    <w:rPr>
      <w:rFonts w:ascii="Tahoma" w:hAnsi="Tahoma"/>
      <w:b/>
      <w:sz w:val="18"/>
      <w:szCs w:val="18"/>
    </w:rPr>
  </w:style>
  <w:style w:type="paragraph" w:styleId="19">
    <w:name w:val="header"/>
    <w:basedOn w:val="1"/>
    <w:next w:val="20"/>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0">
    <w:name w:val="引用1"/>
    <w:basedOn w:val="1"/>
    <w:next w:val="1"/>
    <w:qFormat/>
    <w:uiPriority w:val="0"/>
    <w:pPr>
      <w:ind w:left="864" w:right="864"/>
      <w:jc w:val="center"/>
    </w:pPr>
    <w:rPr>
      <w:rFonts w:ascii="Times New Roman" w:hAnsi="Times New Roman"/>
      <w:i/>
      <w:iCs/>
      <w:color w:val="404040"/>
    </w:rPr>
  </w:style>
  <w:style w:type="paragraph" w:styleId="21">
    <w:name w:val="toc 1"/>
    <w:basedOn w:val="1"/>
    <w:next w:val="1"/>
    <w:qFormat/>
    <w:uiPriority w:val="0"/>
  </w:style>
  <w:style w:type="paragraph" w:styleId="22">
    <w:name w:val="footnote text"/>
    <w:basedOn w:val="1"/>
    <w:qFormat/>
    <w:uiPriority w:val="0"/>
    <w:pPr>
      <w:snapToGrid w:val="0"/>
      <w:jc w:val="left"/>
    </w:pPr>
    <w:rPr>
      <w:sz w:val="18"/>
    </w:rPr>
  </w:style>
  <w:style w:type="paragraph" w:styleId="23">
    <w:name w:val="toc 2"/>
    <w:basedOn w:val="1"/>
    <w:next w:val="1"/>
    <w:qFormat/>
    <w:uiPriority w:val="0"/>
    <w:pPr>
      <w:ind w:left="200" w:leftChars="200"/>
    </w:pPr>
  </w:style>
  <w:style w:type="paragraph" w:styleId="24">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6">
    <w:name w:val="Title"/>
    <w:basedOn w:val="1"/>
    <w:next w:val="1"/>
    <w:link w:val="56"/>
    <w:qFormat/>
    <w:uiPriority w:val="0"/>
    <w:pPr>
      <w:spacing w:before="240" w:after="60"/>
      <w:jc w:val="center"/>
      <w:outlineLvl w:val="0"/>
    </w:pPr>
    <w:rPr>
      <w:rFonts w:ascii="Cambria" w:hAnsi="Cambria"/>
      <w:b/>
      <w:bCs/>
      <w:sz w:val="32"/>
      <w:szCs w:val="32"/>
    </w:rPr>
  </w:style>
  <w:style w:type="paragraph" w:styleId="27">
    <w:name w:val="annotation subject"/>
    <w:basedOn w:val="10"/>
    <w:next w:val="10"/>
    <w:qFormat/>
    <w:uiPriority w:val="0"/>
    <w:rPr>
      <w:b/>
      <w:bCs/>
    </w:rPr>
  </w:style>
  <w:style w:type="paragraph" w:styleId="28">
    <w:name w:val="Body Text First Indent"/>
    <w:basedOn w:val="2"/>
    <w:qFormat/>
    <w:uiPriority w:val="0"/>
    <w:pPr>
      <w:spacing w:line="360" w:lineRule="auto"/>
      <w:ind w:firstLine="100" w:firstLineChars="100"/>
      <w:outlineLvl w:val="0"/>
    </w:pPr>
    <w:rPr>
      <w:bCs/>
      <w:color w:val="000000"/>
      <w:kern w:val="28"/>
      <w:szCs w:val="21"/>
    </w:rPr>
  </w:style>
  <w:style w:type="paragraph" w:styleId="29">
    <w:name w:val="Body Text First Indent 2"/>
    <w:basedOn w:val="12"/>
    <w:next w:val="1"/>
    <w:qFormat/>
    <w:uiPriority w:val="0"/>
    <w:pPr>
      <w:tabs>
        <w:tab w:val="left" w:pos="8280"/>
      </w:tabs>
      <w:ind w:firstLine="200" w:firstLineChars="200"/>
    </w:pPr>
    <w:rPr>
      <w:rFonts w:ascii="Times New Roman" w:hAnsi="Times New Roman"/>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basedOn w:val="32"/>
    <w:qFormat/>
    <w:uiPriority w:val="0"/>
    <w:rPr>
      <w:color w:val="800080" w:themeColor="followedHyperlink"/>
      <w:u w:val="single"/>
      <w14:textFill>
        <w14:solidFill>
          <w14:schemeClr w14:val="folHlink"/>
        </w14:solidFill>
      </w14:textFill>
    </w:rPr>
  </w:style>
  <w:style w:type="character" w:styleId="36">
    <w:name w:val="Hyperlink"/>
    <w:basedOn w:val="32"/>
    <w:qFormat/>
    <w:uiPriority w:val="0"/>
    <w:rPr>
      <w:color w:val="0000FF"/>
      <w:u w:val="single"/>
    </w:rPr>
  </w:style>
  <w:style w:type="character" w:styleId="37">
    <w:name w:val="annotation reference"/>
    <w:qFormat/>
    <w:uiPriority w:val="0"/>
    <w:rPr>
      <w:rFonts w:ascii="Tahoma" w:hAnsi="Tahoma"/>
      <w:b/>
      <w:sz w:val="21"/>
      <w:szCs w:val="21"/>
    </w:rPr>
  </w:style>
  <w:style w:type="paragraph" w:customStyle="1" w:styleId="38">
    <w:name w:val="Default"/>
    <w:next w:val="22"/>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BodyText"/>
    <w:basedOn w:val="1"/>
    <w:qFormat/>
    <w:uiPriority w:val="0"/>
    <w:pPr>
      <w:spacing w:after="120"/>
    </w:pPr>
  </w:style>
  <w:style w:type="paragraph" w:customStyle="1" w:styleId="40">
    <w:name w:val="Char Char Char"/>
    <w:basedOn w:val="9"/>
    <w:qFormat/>
    <w:uiPriority w:val="0"/>
    <w:pPr>
      <w:adjustRightInd w:val="0"/>
      <w:spacing w:line="436" w:lineRule="exact"/>
      <w:ind w:left="357"/>
      <w:jc w:val="left"/>
      <w:outlineLvl w:val="3"/>
    </w:pPr>
    <w:rPr>
      <w:rFonts w:ascii="Tahoma" w:hAnsi="Tahoma"/>
      <w:b/>
      <w:sz w:val="24"/>
    </w:rPr>
  </w:style>
  <w:style w:type="paragraph" w:customStyle="1" w:styleId="41">
    <w:name w:val="Char"/>
    <w:basedOn w:val="1"/>
    <w:qFormat/>
    <w:uiPriority w:val="0"/>
  </w:style>
  <w:style w:type="paragraph" w:customStyle="1" w:styleId="42">
    <w:name w:val="Char Char Char1"/>
    <w:basedOn w:val="9"/>
    <w:qFormat/>
    <w:uiPriority w:val="0"/>
    <w:pPr>
      <w:adjustRightInd w:val="0"/>
      <w:spacing w:line="436" w:lineRule="exact"/>
      <w:ind w:left="357"/>
      <w:jc w:val="left"/>
      <w:outlineLvl w:val="3"/>
    </w:pPr>
    <w:rPr>
      <w:rFonts w:ascii="Tahoma" w:hAnsi="Tahoma"/>
      <w:b/>
      <w:sz w:val="24"/>
    </w:rPr>
  </w:style>
  <w:style w:type="paragraph" w:customStyle="1" w:styleId="43">
    <w:name w:val="列出段落1"/>
    <w:basedOn w:val="1"/>
    <w:qFormat/>
    <w:uiPriority w:val="0"/>
    <w:pPr>
      <w:ind w:firstLine="200" w:firstLineChars="200"/>
    </w:pPr>
    <w:rPr>
      <w:szCs w:val="22"/>
    </w:rPr>
  </w:style>
  <w:style w:type="paragraph" w:customStyle="1" w:styleId="44">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5">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6">
    <w:name w:val="默认段落字体 Para Char Char Char Char Char Char Char"/>
    <w:basedOn w:val="1"/>
    <w:qFormat/>
    <w:uiPriority w:val="0"/>
    <w:rPr>
      <w:rFonts w:ascii="Times New Roman" w:hAnsi="Times New Roman"/>
      <w:szCs w:val="20"/>
    </w:rPr>
  </w:style>
  <w:style w:type="paragraph" w:customStyle="1" w:styleId="47">
    <w:name w:val="Table Paragraph"/>
    <w:basedOn w:val="1"/>
    <w:qFormat/>
    <w:uiPriority w:val="0"/>
  </w:style>
  <w:style w:type="character" w:customStyle="1" w:styleId="48">
    <w:name w:val="正文文本 字符"/>
    <w:basedOn w:val="32"/>
    <w:link w:val="2"/>
    <w:qFormat/>
    <w:uiPriority w:val="99"/>
    <w:rPr>
      <w:rFonts w:ascii="Calibri" w:hAnsi="Calibri"/>
      <w:kern w:val="2"/>
      <w:sz w:val="21"/>
      <w:szCs w:val="24"/>
    </w:rPr>
  </w:style>
  <w:style w:type="paragraph" w:customStyle="1" w:styleId="49">
    <w:name w:val="UserStyle_1"/>
    <w:basedOn w:val="1"/>
    <w:qFormat/>
    <w:uiPriority w:val="0"/>
    <w:pPr>
      <w:topLinePunct/>
      <w:spacing w:line="360" w:lineRule="auto"/>
      <w:ind w:firstLine="200" w:firstLineChars="200"/>
    </w:pPr>
    <w:rPr>
      <w:rFonts w:ascii="Verdana" w:hAnsi="Verdana"/>
      <w:sz w:val="24"/>
    </w:rPr>
  </w:style>
  <w:style w:type="character" w:customStyle="1" w:styleId="50">
    <w:name w:val="NormalCharacter"/>
    <w:qFormat/>
    <w:uiPriority w:val="0"/>
  </w:style>
  <w:style w:type="table" w:customStyle="1" w:styleId="51">
    <w:name w:val="Table Normal"/>
    <w:semiHidden/>
    <w:unhideWhenUsed/>
    <w:qFormat/>
    <w:uiPriority w:val="0"/>
    <w:tblPr>
      <w:tblLayout w:type="fixed"/>
      <w:tblCellMar>
        <w:top w:w="0" w:type="dxa"/>
        <w:left w:w="0" w:type="dxa"/>
        <w:bottom w:w="0" w:type="dxa"/>
        <w:right w:w="0" w:type="dxa"/>
      </w:tblCellMar>
    </w:tblPr>
  </w:style>
  <w:style w:type="character" w:customStyle="1" w:styleId="52">
    <w:name w:val="font01"/>
    <w:basedOn w:val="32"/>
    <w:qFormat/>
    <w:uiPriority w:val="0"/>
    <w:rPr>
      <w:rFonts w:hint="eastAsia" w:ascii="宋体" w:hAnsi="宋体" w:eastAsia="宋体" w:cs="宋体"/>
      <w:color w:val="FF0000"/>
      <w:sz w:val="22"/>
      <w:szCs w:val="22"/>
      <w:u w:val="none"/>
    </w:rPr>
  </w:style>
  <w:style w:type="character" w:customStyle="1" w:styleId="53">
    <w:name w:val="font11"/>
    <w:basedOn w:val="32"/>
    <w:qFormat/>
    <w:uiPriority w:val="0"/>
    <w:rPr>
      <w:rFonts w:hint="eastAsia" w:ascii="宋体" w:hAnsi="宋体" w:eastAsia="宋体" w:cs="宋体"/>
      <w:color w:val="000000"/>
      <w:sz w:val="22"/>
      <w:szCs w:val="22"/>
      <w:u w:val="none"/>
    </w:rPr>
  </w:style>
  <w:style w:type="character" w:customStyle="1" w:styleId="54">
    <w:name w:val="font41"/>
    <w:basedOn w:val="32"/>
    <w:qFormat/>
    <w:uiPriority w:val="0"/>
    <w:rPr>
      <w:rFonts w:hint="eastAsia" w:ascii="宋体" w:hAnsi="宋体" w:eastAsia="宋体" w:cs="宋体"/>
      <w:color w:val="FFC000"/>
      <w:sz w:val="22"/>
      <w:szCs w:val="22"/>
      <w:u w:val="none"/>
    </w:rPr>
  </w:style>
  <w:style w:type="character" w:customStyle="1" w:styleId="55">
    <w:name w:val="font31"/>
    <w:basedOn w:val="32"/>
    <w:qFormat/>
    <w:uiPriority w:val="0"/>
    <w:rPr>
      <w:rFonts w:hint="default" w:ascii="Times New Roman" w:hAnsi="Times New Roman" w:cs="Times New Roman"/>
      <w:color w:val="000000"/>
      <w:sz w:val="23"/>
      <w:szCs w:val="23"/>
      <w:u w:val="none"/>
    </w:rPr>
  </w:style>
  <w:style w:type="character" w:customStyle="1" w:styleId="56">
    <w:name w:val="标题 字符"/>
    <w:link w:val="26"/>
    <w:qFormat/>
    <w:uiPriority w:val="0"/>
    <w:rPr>
      <w:rFonts w:ascii="Cambria" w:hAnsi="Cambria"/>
      <w:b/>
      <w:bCs/>
      <w:sz w:val="32"/>
      <w:szCs w:val="32"/>
    </w:rPr>
  </w:style>
  <w:style w:type="paragraph" w:customStyle="1" w:styleId="57">
    <w:name w:val="章标题"/>
    <w:basedOn w:val="1"/>
    <w:next w:val="58"/>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9">
    <w:name w:val="标题 32"/>
    <w:basedOn w:val="1"/>
    <w:qFormat/>
    <w:uiPriority w:val="0"/>
    <w:pPr>
      <w:widowControl/>
      <w:jc w:val="left"/>
      <w:outlineLvl w:val="3"/>
    </w:pPr>
    <w:rPr>
      <w:rFonts w:ascii="宋体" w:hAnsi="宋体" w:cs="宋体"/>
      <w:kern w:val="0"/>
      <w:sz w:val="27"/>
      <w:szCs w:val="27"/>
    </w:rPr>
  </w:style>
  <w:style w:type="paragraph" w:styleId="60">
    <w:name w:val="List Paragraph"/>
    <w:basedOn w:val="1"/>
    <w:qFormat/>
    <w:uiPriority w:val="99"/>
    <w:pPr>
      <w:ind w:firstLine="420" w:firstLineChars="200"/>
    </w:pPr>
    <w:rPr>
      <w:rFonts w:ascii="Calibri" w:hAnsi="Calibri"/>
      <w:szCs w:val="22"/>
    </w:rPr>
  </w:style>
  <w:style w:type="character" w:customStyle="1" w:styleId="61">
    <w:name w:val="标题 4 Char"/>
    <w:basedOn w:val="32"/>
    <w:link w:val="6"/>
    <w:qFormat/>
    <w:uiPriority w:val="9"/>
    <w:rPr>
      <w:rFonts w:eastAsia="仿宋" w:asciiTheme="majorHAnsi" w:hAnsiTheme="majorHAnsi" w:cstheme="majorBidi"/>
      <w:bCs/>
      <w:sz w:val="24"/>
      <w:szCs w:val="28"/>
    </w:rPr>
  </w:style>
  <w:style w:type="paragraph" w:customStyle="1" w:styleId="62">
    <w:name w:val="标题4"/>
    <w:basedOn w:val="6"/>
    <w:next w:val="63"/>
    <w:qFormat/>
    <w:uiPriority w:val="0"/>
    <w:pPr>
      <w:spacing w:before="40" w:beforeLines="0" w:after="50" w:afterLines="0"/>
    </w:pPr>
    <w:rPr>
      <w:rFonts w:eastAsia="宋体"/>
      <w:sz w:val="24"/>
    </w:rPr>
  </w:style>
  <w:style w:type="paragraph" w:customStyle="1" w:styleId="63">
    <w:name w:val="样式1"/>
    <w:basedOn w:val="13"/>
    <w:next w:val="25"/>
    <w:qFormat/>
    <w:uiPriority w:val="0"/>
    <w:rPr>
      <w:rFonts w:ascii="宋体" w:hAnsi="宋体" w:cs="宋体"/>
      <w:sz w:val="28"/>
      <w:szCs w:val="28"/>
    </w:rPr>
  </w:style>
  <w:style w:type="paragraph" w:customStyle="1" w:styleId="64">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5">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6">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7">
    <w:name w:val="表格"/>
    <w:basedOn w:val="1"/>
    <w:qFormat/>
    <w:uiPriority w:val="0"/>
    <w:pPr>
      <w:spacing w:before="60" w:beforeLines="0" w:after="60" w:afterLines="0"/>
      <w:jc w:val="center"/>
      <w:textAlignment w:val="baseline"/>
    </w:pPr>
    <w:rPr>
      <w:rFonts w:hint="eastAsia" w:ascii="宋体"/>
      <w:sz w:val="24"/>
    </w:rPr>
  </w:style>
  <w:style w:type="paragraph" w:customStyle="1" w:styleId="68">
    <w:name w:val="列出段落2"/>
    <w:basedOn w:val="1"/>
    <w:qFormat/>
    <w:uiPriority w:val="99"/>
    <w:pPr>
      <w:ind w:firstLine="420" w:firstLineChars="200"/>
    </w:pPr>
  </w:style>
  <w:style w:type="character" w:customStyle="1" w:styleId="69">
    <w:name w:val="font51"/>
    <w:basedOn w:val="3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2CE1-7FF8-4507-A237-55F2CEDC667D}">
  <ds:schemaRefs/>
</ds:datastoreItem>
</file>

<file path=customXml/itemProps3.xml><?xml version="1.0" encoding="utf-8"?>
<ds:datastoreItem xmlns:ds="http://schemas.openxmlformats.org/officeDocument/2006/customXml" ds:itemID="{559CA057-9312-4AE4-A3B8-0F0325230C1B}">
  <ds:schemaRefs/>
</ds:datastoreItem>
</file>

<file path=customXml/itemProps4.xml><?xml version="1.0" encoding="utf-8"?>
<ds:datastoreItem xmlns:ds="http://schemas.openxmlformats.org/officeDocument/2006/customXml" ds:itemID="{DCE8AD46-CB20-4EEF-9CE8-17DF6DB54AD3}">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9BFFD215-D857-44F3-90B1-C0F7B3EE83EE}">
  <ds:schemaRefs/>
</ds:datastoreItem>
</file>

<file path=customXml/itemProps7.xml><?xml version="1.0" encoding="utf-8"?>
<ds:datastoreItem xmlns:ds="http://schemas.openxmlformats.org/officeDocument/2006/customXml" ds:itemID="{8C2ECA44-8724-48E4-9F7A-182A473D1795}">
  <ds:schemaRefs/>
</ds:datastoreItem>
</file>

<file path=customXml/itemProps8.xml><?xml version="1.0" encoding="utf-8"?>
<ds:datastoreItem xmlns:ds="http://schemas.openxmlformats.org/officeDocument/2006/customXml" ds:itemID="{87EEEFAF-AF6F-47A4-AFE2-723264F48A46}">
  <ds:schemaRefs/>
</ds:datastoreItem>
</file>

<file path=customXml/itemProps9.xml><?xml version="1.0" encoding="utf-8"?>
<ds:datastoreItem xmlns:ds="http://schemas.openxmlformats.org/officeDocument/2006/customXml" ds:itemID="{720DC6D2-0290-42A6-9D93-C0CC8B675E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1</TotalTime>
  <ScaleCrop>false</ScaleCrop>
  <LinksUpToDate>false</LinksUpToDate>
  <CharactersWithSpaces>27795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工程公司</cp:lastModifiedBy>
  <cp:lastPrinted>2023-08-08T06:55:00Z</cp:lastPrinted>
  <dcterms:modified xsi:type="dcterms:W3CDTF">2023-09-13T07:54:33Z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8A1D56AEF0484AFE93427389DC159D74_13</vt:lpwstr>
  </property>
</Properties>
</file>