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 w:bidi="ar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fill="FFFFFF"/>
          <w:lang w:val="en-US" w:eastAsia="zh-CN"/>
        </w:rPr>
        <w:t>计费方法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（1）审核费用=（基本审核费用+效益审核费用）×（中标费率）。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（2）基本审核费用=∑本项目各委托金额之和（分段金额）×基本审核费费率×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专业调整系数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×阶段系数，具体解释见表一、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表二、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项目阶段系数解释。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表一：分段累进审核费费率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咨询项目名称</w:t>
            </w:r>
          </w:p>
        </w:tc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收费基数（X）</w:t>
            </w:r>
          </w:p>
        </w:tc>
        <w:tc>
          <w:tcPr>
            <w:tcW w:w="6075" w:type="dxa"/>
            <w:gridSpan w:val="5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基本审核费费率划分标准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X≤3000万元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3000＜X≤5000万元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5000＜X≤1亿元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1亿元＜X≤50亿元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X＞50亿元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建安项目的审核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本项目各委托金额之和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2.0‰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1.5‰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0.5‰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表二：专业调整系数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5235"/>
        <w:gridCol w:w="1455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专业类别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包含专业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专业调整系数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机场场道工程、桥梁工程、隧道工程、公路、道路工程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二类工程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市政公用工程、城市轨道工程、港口工程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三类工程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水利工程、绿化工程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四类工程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建筑工程及其他工程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五类工程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园林工程、井巷矿山工程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六类工程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装饰装修工程、仿古建筑工程、安装工程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项目阶段系数解释：参照财政部（财建【2001】512号）文件规定，基本审核费用按建设项目的预算（标底）、竣工决（结）算全过程核定，对于不同阶段委托不同中介机构或只对某一单项委托审核的，阶段系数为预算（标底）按照40%、决（结）算按照60%确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（3）效益审核费用=∑审减部分的各委托金额（分段金额）×效益审核费费率×阶段系数，效益审核费用费率见表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：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4245"/>
        <w:gridCol w:w="2730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24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审减额（E）=审减额÷送审额</w:t>
            </w:r>
          </w:p>
        </w:tc>
        <w:tc>
          <w:tcPr>
            <w:tcW w:w="273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效益审核费费率（按照审减额的）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E≤5%</w:t>
            </w:r>
          </w:p>
        </w:tc>
        <w:tc>
          <w:tcPr>
            <w:tcW w:w="273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5%＜E≤10%</w:t>
            </w:r>
          </w:p>
        </w:tc>
        <w:tc>
          <w:tcPr>
            <w:tcW w:w="273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E＞10%</w:t>
            </w:r>
          </w:p>
        </w:tc>
        <w:tc>
          <w:tcPr>
            <w:tcW w:w="273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1%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以下审减金额不列入效益审减费：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因全部或者部分项目取消产生的审减额；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因笔误、经核实虚报产生的审减额；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其他不是由于中介机构审核形成的审减额。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</w:p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021FD"/>
    <w:multiLevelType w:val="singleLevel"/>
    <w:tmpl w:val="CE8021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2590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3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2023-10-25T08:05:10Z</dcterms:created>
  <dc:creator>CMGE-PC</dc:creator>
  <cp:lastModifiedBy>WPS_1686710670</cp:lastModifiedBy>
  <dcterms:modified xsi:type="dcterms:W3CDTF">2023-10-25T08:06:22Z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206B2537AE5E4192940D29B9D9A6A150_12</vt:lpwstr>
  </property>
</Properties>
</file>