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/>
        <w:ind w:right="0"/>
        <w:jc w:val="left"/>
        <w:rPr>
          <w:rFonts w:ascii="宋体" w:cs="宋体" w:eastAsia="宋体" w:hAnsi="宋体" w:hint="eastAsia"/>
          <w:b/>
          <w:bCs/>
          <w:kern w:val="44"/>
          <w:sz w:val="24"/>
          <w:szCs w:val="24"/>
          <w:highlight w:val="none"/>
          <w:lang w:val="en-US" w:eastAsia="zh-CN"/>
        </w:rPr>
      </w:pPr>
      <w:r>
        <w:rPr>
          <w:rFonts w:ascii="宋体" w:cs="宋体" w:eastAsia="宋体" w:hAnsi="宋体" w:hint="eastAsia"/>
          <w:b/>
          <w:bCs/>
          <w:kern w:val="44"/>
          <w:sz w:val="24"/>
          <w:szCs w:val="24"/>
          <w:highlight w:val="none"/>
          <w:lang w:val="en-US" w:eastAsia="zh-CN"/>
        </w:rPr>
        <w:t>附件1：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/>
        <w:ind w:left="0" w:right="0" w:firstLine="420"/>
        <w:jc w:val="center"/>
        <w:rPr>
          <w:rFonts w:ascii="微软雅黑" w:cs="微软雅黑" w:eastAsia="微软雅黑" w:hAnsi="微软雅黑" w:hint="eastAsia"/>
          <w:b/>
          <w:bCs/>
          <w:i w:val="false"/>
          <w:iCs w:val="false"/>
          <w:caps w:val="false"/>
          <w:color w:val="2b2b2b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ascii="微软雅黑" w:cs="微软雅黑" w:eastAsia="微软雅黑" w:hAnsi="微软雅黑" w:hint="eastAsia"/>
          <w:b/>
          <w:bCs/>
          <w:i w:val="false"/>
          <w:iCs w:val="false"/>
          <w:caps w:val="false"/>
          <w:color w:val="2b2b2b"/>
          <w:spacing w:val="0"/>
          <w:sz w:val="27"/>
          <w:szCs w:val="27"/>
          <w:shd w:val="clear" w:color="auto" w:fill="ffffff"/>
          <w:lang w:val="en-US" w:eastAsia="zh-CN"/>
        </w:rPr>
        <w:t>计费方法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/>
        <w:ind w:left="0" w:right="0" w:firstLine="420"/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</w:rPr>
        <w:t>（1）审核费用=（基本审核费用+效益审核费用）×（中标费率）。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/>
        <w:ind w:left="0" w:right="0" w:firstLine="420"/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</w:rPr>
        <w:t>（2）基本审核费用=∑本项目各委托金额之和（分段金额）×基本审核费费率×阶段系数，具体解释见表一</w:t>
      </w:r>
      <w:r>
        <w:rPr>
          <w:rFonts w:ascii="宋体" w:cs="宋体" w:eastAsia="宋体" w:hAnsi="宋体" w:hint="default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  <w:lang w:val="en-US"/>
        </w:rPr>
        <w:t>、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</w:rPr>
        <w:t>项目阶段系数解释。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/>
        <w:ind w:left="0" w:right="0" w:firstLine="420"/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</w:rPr>
        <w:t>表一：分段累进审核费费率</w:t>
      </w:r>
    </w:p>
    <w:tbl>
      <w:tblPr>
        <w:tblStyle w:val="style105"/>
        <w:tblW w:w="0" w:type="auto"/>
        <w:jc w:val="center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none" w:sz="0" w:space="0" w:color="auto"/>
          <w:insideV w:val="none" w:sz="0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>
        <w:trPr>
          <w:jc w:val="center"/>
        </w:trPr>
        <w:tc>
          <w:tcPr>
            <w:tcW w:w="1215" w:type="dxa"/>
            <w:vMerge w:val="restart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咨询项目名称</w:t>
            </w:r>
          </w:p>
        </w:tc>
        <w:tc>
          <w:tcPr>
            <w:tcW w:w="1215" w:type="dxa"/>
            <w:vMerge w:val="restart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收费基数（X）</w:t>
            </w:r>
          </w:p>
        </w:tc>
        <w:tc>
          <w:tcPr>
            <w:tcW w:w="6075" w:type="dxa"/>
            <w:gridSpan w:val="5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基本审核费费率划分标准</w:t>
            </w:r>
          </w:p>
        </w:tc>
      </w:tr>
      <w:tr>
        <w:tblPrEx/>
        <w:trPr>
          <w:jc w:val="center"/>
        </w:trPr>
        <w:tc>
          <w:tcPr>
            <w:tcW w:w="1215" w:type="dxa"/>
            <w:vMerge w:val="continue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X≤3000万元</w:t>
            </w:r>
          </w:p>
        </w:tc>
        <w:tc>
          <w:tcPr>
            <w:tcW w:w="12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3000＜X≤5000万元</w:t>
            </w:r>
          </w:p>
        </w:tc>
        <w:tc>
          <w:tcPr>
            <w:tcW w:w="12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5000＜X≤1亿元</w:t>
            </w:r>
          </w:p>
        </w:tc>
        <w:tc>
          <w:tcPr>
            <w:tcW w:w="12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1亿元＜X≤50亿元</w:t>
            </w:r>
          </w:p>
        </w:tc>
        <w:tc>
          <w:tcPr>
            <w:tcW w:w="12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X＞50亿元</w:t>
            </w:r>
          </w:p>
        </w:tc>
      </w:tr>
      <w:tr>
        <w:tblPrEx/>
        <w:trPr>
          <w:jc w:val="center"/>
        </w:trPr>
        <w:tc>
          <w:tcPr>
            <w:tcW w:w="12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建安项目的审核</w:t>
            </w:r>
          </w:p>
        </w:tc>
        <w:tc>
          <w:tcPr>
            <w:tcW w:w="12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本项目各委托金额之和</w:t>
            </w:r>
          </w:p>
        </w:tc>
        <w:tc>
          <w:tcPr>
            <w:tcW w:w="12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3.0‰</w:t>
            </w:r>
          </w:p>
        </w:tc>
        <w:tc>
          <w:tcPr>
            <w:tcW w:w="12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2.0‰</w:t>
            </w:r>
          </w:p>
        </w:tc>
        <w:tc>
          <w:tcPr>
            <w:tcW w:w="12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1.5‰</w:t>
            </w:r>
          </w:p>
        </w:tc>
        <w:tc>
          <w:tcPr>
            <w:tcW w:w="12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1.0‰</w:t>
            </w:r>
          </w:p>
        </w:tc>
        <w:tc>
          <w:tcPr>
            <w:tcW w:w="12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0.5‰</w:t>
            </w:r>
          </w:p>
        </w:tc>
      </w:tr>
    </w:tbl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/>
        <w:ind w:left="0" w:right="0" w:firstLineChars="200"/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</w:rPr>
        <w:t>项目阶段系数解释：参照财政部（财建【2001】512号）文件规定，基本审核费用按建设项目的预算（标底）、竣工决（结）算全过程核定，对于不同阶段委托不同中介机构或只对某一单项委托审核的，阶段系数为预算（标底）按照40%、决（结）算按照60%确定。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/>
        <w:ind w:left="0" w:right="0" w:firstLine="420"/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</w:rPr>
        <w:t>（3）效益审核费用=∑审减部分的各委托金额（分段金额）×效益审核费费率×阶段系数，效益审核费用费率见</w:t>
      </w:r>
      <w:r>
        <w:rPr>
          <w:rFonts w:ascii="宋体" w:cs="宋体" w:eastAsia="宋体" w:hAnsi="宋体" w:hint="default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  <w:lang w:val="en-US"/>
        </w:rPr>
        <w:t>表二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</w:rPr>
        <w:t>：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/>
        <w:ind w:left="0" w:right="0" w:firstLine="420"/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</w:rPr>
        <w:t>表</w:t>
      </w:r>
      <w:r>
        <w:rPr>
          <w:rFonts w:ascii="宋体" w:cs="宋体" w:eastAsia="宋体" w:hAnsi="宋体" w:hint="default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  <w:lang w:val="en-US"/>
        </w:rPr>
        <w:t>二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</w:rPr>
        <w:t>：</w:t>
      </w:r>
    </w:p>
    <w:tbl>
      <w:tblPr>
        <w:tblStyle w:val="style105"/>
        <w:tblW w:w="0" w:type="auto"/>
        <w:jc w:val="center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none" w:sz="0" w:space="0" w:color="auto"/>
          <w:insideV w:val="none" w:sz="0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4245"/>
        <w:gridCol w:w="2730"/>
      </w:tblGrid>
      <w:tr>
        <w:trPr>
          <w:jc w:val="center"/>
        </w:trPr>
        <w:tc>
          <w:tcPr>
            <w:tcW w:w="15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24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审减额（E）=审减额÷送审额</w:t>
            </w:r>
          </w:p>
        </w:tc>
        <w:tc>
          <w:tcPr>
            <w:tcW w:w="2730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效益审核费费率（按照审减额的）</w:t>
            </w:r>
          </w:p>
        </w:tc>
      </w:tr>
      <w:tr>
        <w:tblPrEx/>
        <w:trPr>
          <w:jc w:val="center"/>
        </w:trPr>
        <w:tc>
          <w:tcPr>
            <w:tcW w:w="15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E≤5%</w:t>
            </w:r>
          </w:p>
        </w:tc>
        <w:tc>
          <w:tcPr>
            <w:tcW w:w="2730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3%</w:t>
            </w:r>
          </w:p>
        </w:tc>
      </w:tr>
      <w:tr>
        <w:tblPrEx/>
        <w:trPr>
          <w:jc w:val="center"/>
        </w:trPr>
        <w:tc>
          <w:tcPr>
            <w:tcW w:w="15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5%＜E≤10%</w:t>
            </w:r>
          </w:p>
        </w:tc>
        <w:tc>
          <w:tcPr>
            <w:tcW w:w="2730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2%</w:t>
            </w:r>
          </w:p>
        </w:tc>
      </w:tr>
      <w:tr>
        <w:tblPrEx/>
        <w:trPr>
          <w:jc w:val="center"/>
        </w:trPr>
        <w:tc>
          <w:tcPr>
            <w:tcW w:w="151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3</w:t>
            </w:r>
          </w:p>
        </w:tc>
        <w:tc>
          <w:tcPr>
            <w:tcW w:w="4245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E＞10%</w:t>
            </w:r>
          </w:p>
        </w:tc>
        <w:tc>
          <w:tcPr>
            <w:tcW w:w="2730" w:type="dxa"/>
            <w:tcBorders>
              <w:top w:val="single" w:sz="6" w:space="0" w:color="b1b1b1"/>
              <w:left w:val="single" w:sz="6" w:space="0" w:color="b1b1b1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beforeAutospacing="false" w:after="0" w:afterAutospacing="false"/>
              <w:ind w:left="0" w:right="0" w:firstLine="0"/>
              <w:rPr>
                <w:rFonts w:ascii="宋体" w:cs="宋体" w:eastAsia="宋体" w:hAnsi="宋体" w:hint="eastAsia"/>
                <w:color w:val="2b2b2b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aps w:val="false"/>
                <w:color w:val="2b2b2b"/>
                <w:spacing w:val="0"/>
                <w:sz w:val="24"/>
                <w:szCs w:val="24"/>
              </w:rPr>
              <w:t>1%</w:t>
            </w:r>
          </w:p>
        </w:tc>
      </w:tr>
    </w:tbl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/>
        <w:ind w:left="0" w:right="0" w:firstLine="420"/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</w:rPr>
        <w:t>以下审减金额不列入效益审减费：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/>
        <w:ind w:right="0" w:firstLine="480" w:firstLineChars="200"/>
        <w:textAlignment w:val="auto"/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</w:rPr>
        <w:t>因全部或者部分项目取消产生的审减额；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/>
        <w:ind w:right="0" w:firstLine="480" w:firstLineChars="200"/>
        <w:textAlignment w:val="auto"/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</w:rPr>
        <w:t>因笔误、经核实虚报产生的审减额；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/>
        <w:ind w:right="0" w:firstLine="480" w:firstLineChars="200"/>
        <w:textAlignment w:val="auto"/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2b2b2b"/>
          <w:spacing w:val="0"/>
          <w:sz w:val="24"/>
          <w:szCs w:val="24"/>
          <w:shd w:val="clear" w:color="auto" w:fill="ffffff"/>
        </w:rPr>
        <w:t>其他不是由于中介机构审核形成的审减额。</w:t>
      </w: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540" w:firstLineChars="200"/>
        <w:textAlignment w:val="auto"/>
        <w:rPr>
          <w:rFonts w:ascii="微软雅黑" w:cs="微软雅黑" w:eastAsia="微软雅黑" w:hAnsi="微软雅黑" w:hint="default"/>
          <w:i w:val="false"/>
          <w:iCs w:val="false"/>
          <w:caps w:val="false"/>
          <w:color w:val="2b2b2b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pStyle w:val="style0"/>
        <w:rPr/>
      </w:pPr>
    </w:p>
    <w:sectPr>
      <w:pgSz w:w="11906" w:h="16838" w:orient="portrait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E8021FD"/>
    <w:lvl w:ilvl="0">
      <w:start w:val="1"/>
      <w:numFmt w:val="decimal"/>
      <w:suff w:val="nothing"/>
      <w:lvlText w:val="（%1）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4097"/>
    <w:qFormat/>
    <w:uiPriority w:val="0"/>
    <w:pPr>
      <w:widowControl w:val="false"/>
      <w:autoSpaceDE/>
      <w:autoSpaceDN/>
      <w:spacing w:before="0" w:after="0" w:lineRule="auto" w:line="240"/>
      <w:ind w:left="0" w:firstLine="420"/>
      <w:jc w:val="both"/>
    </w:pPr>
    <w:rPr>
      <w:rFonts w:ascii="Times New Roman" w:eastAsia="宋体"/>
      <w:sz w:val="21"/>
    </w:rPr>
  </w:style>
  <w:style w:type="paragraph" w:customStyle="1" w:styleId="style4097">
    <w:name w:val="toc 21"/>
    <w:next w:val="style0"/>
    <w:qFormat/>
    <w:uiPriority w:val="0"/>
    <w:pPr>
      <w:wordWrap w:val="false"/>
      <w:ind w:left="425"/>
      <w:jc w:val="both"/>
    </w:pPr>
    <w:rPr>
      <w:rFonts w:ascii="Times New Roman" w:cs="Times New Roman" w:eastAsia="宋体" w:hAnsi="Times New Roman"/>
      <w:sz w:val="21"/>
      <w:lang w:val="en-US" w:bidi="ar-SA" w:eastAsia="zh-CN"/>
    </w:rPr>
  </w:style>
  <w:style w:type="paragraph" w:styleId="style67">
    <w:name w:val="Body Text Indent"/>
    <w:basedOn w:val="style0"/>
    <w:next w:val="style28"/>
    <w:qFormat/>
    <w:uiPriority w:val="0"/>
    <w:pPr>
      <w:widowControl w:val="false"/>
      <w:autoSpaceDE/>
      <w:autoSpaceDN/>
      <w:spacing w:before="0" w:after="120" w:lineRule="auto" w:line="240"/>
      <w:ind w:left="420" w:firstLine="0"/>
      <w:jc w:val="both"/>
    </w:pPr>
    <w:rPr>
      <w:rFonts w:ascii="Times New Roman" w:eastAsia="宋体"/>
      <w:sz w:val="21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paragraph" w:styleId="style78">
    <w:name w:val="Body Text First Indent 2"/>
    <w:basedOn w:val="style67"/>
    <w:next w:val="style0"/>
    <w:qFormat/>
    <w:uiPriority w:val="0"/>
    <w:pPr>
      <w:spacing w:after="120" w:lineRule="exact" w:line="440"/>
      <w:ind w:left="420" w:leftChars="200" w:firstLine="210" w:firstLineChars="20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478</Words>
  <Pages>1</Pages>
  <Characters>520</Characters>
  <Application>WPS Office</Application>
  <DocSecurity>0</DocSecurity>
  <Paragraphs>50</Paragraphs>
  <ScaleCrop>false</ScaleCrop>
  <LinksUpToDate>false</LinksUpToDate>
  <CharactersWithSpaces>520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2023-10-25T08:05:10Z</dcterms:created>
  <dc:creator>CMGE-PC</dc:creator>
  <lastModifiedBy>LSA-AN00</lastModifiedBy>
  <dcterms:modified xsi:type="dcterms:W3CDTF">2023-12-04T04:22:41Z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206B2537AE5E4192940D29B9D9A6A150_12</vt:lpwstr>
  </property>
</Properties>
</file>