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left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附件3：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  <w:t>评分标准</w:t>
      </w:r>
    </w:p>
    <w:tbl>
      <w:tblPr>
        <w:tblStyle w:val="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140"/>
        <w:gridCol w:w="5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条款内容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编列内容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分值构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(总分100分)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工作方案总体评价：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企业业绩及人员：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报价得分：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u w:val="singl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基准价计算方法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取所有有效报价的平均值做为评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基准价费率。（有效报价为通过形式和响应性评审及资格审查的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文件的报价）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评分因素</w:t>
            </w:r>
          </w:p>
        </w:tc>
        <w:tc>
          <w:tcPr>
            <w:tcW w:w="797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方案总体评价（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0分）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总体概述及方案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方案优秀、科学合理：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方案一般可行：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方案较差：0-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方案的实施细则（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较好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质量的控制措施（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进度控制措施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措施完善、合理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能满足要求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流程、制度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合理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不符合或缺项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承诺完善、能够为本项目提供完善服务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服务承诺一般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服务承诺不完善或缺项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企业业绩及人员（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color="auto" w:fill="FFFFFF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项目负责人情况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拟投入本项目的项目负责人，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具有国家注册一级造价工程师职业资格，同时具有高级职称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分；具有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国家注册一级造价工程师职业资格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</w:rPr>
              <w:t>分，其他不得分。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拟投入本项目专业人员注册证书及职称情况（不含项目负责人）（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拟投入本项目的注册造价师需满足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名，满足得基础分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分，不满足不得分。投入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名以上（不含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名）每增加一个注册造价工程师加2分，加满为止。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近三年类似项目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的业绩（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0分）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yellow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比选申请人每提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预算评审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000万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结算审计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造价咨询业绩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造价不低于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000万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每提供一份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供热项目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工程造价咨询业绩得2分，满分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分。（评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以申请文件中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提供合同复印件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为准，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复印件需加盖单位公章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w w:val="10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报价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21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工程量清单、招标控制价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审核费费率报价（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分）</w:t>
            </w:r>
          </w:p>
        </w:tc>
        <w:tc>
          <w:tcPr>
            <w:tcW w:w="5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所有有效报价平均值为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评标基准价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  <w:t>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价费率与评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基准价费率一致得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分，每比评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基准价费率高一个百分点减1分，每低一个百分点减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highlight w:val="none"/>
              </w:rPr>
              <w:t>分，减完为止。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B2B2B"/>
          <w:spacing w:val="0"/>
          <w:sz w:val="24"/>
          <w:szCs w:val="24"/>
          <w:highlight w:val="none"/>
          <w:lang w:val="en-US" w:eastAsia="zh-CN"/>
        </w:rPr>
        <w:t>综合评分法得分最高者中选，如综合评分相同时，报价费率低者中选。</w:t>
      </w:r>
      <w:bookmarkStart w:id="0" w:name="_GoBack"/>
      <w:bookmarkEnd w:id="0"/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TZlZWU1ZDA0YzBlNDk5YTZiMmJjY2UzZWQ1YTgifQ=="/>
  </w:docVars>
  <w:rsids>
    <w:rsidRoot w:val="00000000"/>
    <w:rsid w:val="1541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440" w:lineRule="exact"/>
      <w:ind w:left="420" w:leftChars="200" w:firstLine="21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widowControl w:val="0"/>
      <w:autoSpaceDE/>
      <w:autoSpaceDN/>
      <w:spacing w:before="0" w:after="120" w:line="240" w:lineRule="auto"/>
      <w:ind w:left="420" w:firstLine="0"/>
      <w:jc w:val="both"/>
    </w:pPr>
    <w:rPr>
      <w:rFonts w:ascii="Times New Roman" w:eastAsia="宋体"/>
      <w:sz w:val="21"/>
    </w:rPr>
  </w:style>
  <w:style w:type="paragraph" w:styleId="4">
    <w:name w:val="Normal Indent"/>
    <w:basedOn w:val="1"/>
    <w:next w:val="5"/>
    <w:qFormat/>
    <w:uiPriority w:val="0"/>
    <w:pPr>
      <w:widowControl w:val="0"/>
      <w:autoSpaceDE/>
      <w:autoSpaceDN/>
      <w:spacing w:before="0" w:after="0" w:line="240" w:lineRule="auto"/>
      <w:ind w:left="0" w:firstLine="420"/>
      <w:jc w:val="both"/>
    </w:pPr>
    <w:rPr>
      <w:rFonts w:ascii="Times New Roman" w:eastAsia="宋体"/>
      <w:sz w:val="21"/>
    </w:r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881</Characters>
  <Paragraphs>76</Paragraphs>
  <TotalTime>10</TotalTime>
  <ScaleCrop>false</ScaleCrop>
  <LinksUpToDate>false</LinksUpToDate>
  <CharactersWithSpaces>881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2023-10-26T01:22:00Z</dcterms:created>
  <dc:creator>CMGE-PC</dc:creator>
  <cp:lastModifiedBy>狄鸿雁</cp:lastModifiedBy>
  <dcterms:modified xsi:type="dcterms:W3CDTF">2023-12-04T06:36:00Z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BA3C555888D74CEC8CC3A129E3033DF4_12</vt:lpwstr>
  </property>
</Properties>
</file>