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0"/>
          <w:szCs w:val="40"/>
          <w:shd w:val="clear" w:fill="FFFFFF"/>
        </w:rPr>
      </w:pPr>
      <w:r>
        <w:rPr>
          <w:rFonts w:hint="eastAsia" w:ascii="宋体" w:hAnsi="宋体" w:eastAsia="宋体" w:cs="宋体"/>
          <w:b/>
          <w:bCs/>
          <w:i w:val="0"/>
          <w:iCs w:val="0"/>
          <w:caps w:val="0"/>
          <w:color w:val="2B2B2B"/>
          <w:spacing w:val="0"/>
          <w:sz w:val="40"/>
          <w:szCs w:val="40"/>
          <w:shd w:val="clear" w:fill="FFFFFF"/>
        </w:rPr>
        <w:t xml:space="preserve">石家庄亿隆管业有限公司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kern w:val="0"/>
          <w:sz w:val="44"/>
          <w:szCs w:val="44"/>
          <w:shd w:val="clear" w:color="auto" w:fill="FFFFFF"/>
          <w:lang w:val="en-US" w:eastAsia="zh-CN"/>
        </w:rPr>
      </w:pPr>
      <w:r>
        <w:rPr>
          <w:rFonts w:hint="eastAsia" w:ascii="宋体" w:hAnsi="宋体" w:eastAsia="宋体" w:cs="宋体"/>
          <w:b/>
          <w:bCs/>
          <w:i w:val="0"/>
          <w:iCs w:val="0"/>
          <w:caps w:val="0"/>
          <w:color w:val="2B2B2B"/>
          <w:spacing w:val="0"/>
          <w:sz w:val="40"/>
          <w:szCs w:val="40"/>
          <w:shd w:val="clear" w:fill="FFFFFF"/>
        </w:rPr>
        <w:t>2024年度</w:t>
      </w:r>
      <w:r>
        <w:rPr>
          <w:rFonts w:hint="eastAsia" w:ascii="宋体" w:hAnsi="宋体" w:cs="宋体"/>
          <w:b/>
          <w:bCs/>
          <w:i w:val="0"/>
          <w:iCs w:val="0"/>
          <w:caps w:val="0"/>
          <w:color w:val="2B2B2B"/>
          <w:spacing w:val="0"/>
          <w:sz w:val="40"/>
          <w:szCs w:val="40"/>
          <w:shd w:val="clear" w:fill="FFFFFF"/>
          <w:lang w:eastAsia="zh-CN"/>
        </w:rPr>
        <w:t>镀锌铁皮</w:t>
      </w:r>
      <w:r>
        <w:rPr>
          <w:rFonts w:hint="eastAsia" w:ascii="宋体" w:hAnsi="宋体" w:cs="宋体"/>
          <w:b/>
          <w:bCs/>
          <w:i w:val="0"/>
          <w:iCs w:val="0"/>
          <w:caps w:val="0"/>
          <w:color w:val="2B2B2B"/>
          <w:spacing w:val="0"/>
          <w:sz w:val="40"/>
          <w:szCs w:val="40"/>
          <w:shd w:val="clear" w:fill="FFFFFF"/>
          <w:lang w:val="en-US" w:eastAsia="zh-CN"/>
        </w:rPr>
        <w:t>战略</w:t>
      </w:r>
      <w:r>
        <w:rPr>
          <w:rFonts w:hint="eastAsia" w:ascii="宋体" w:hAnsi="宋体" w:eastAsia="宋体" w:cs="宋体"/>
          <w:b/>
          <w:bCs/>
          <w:i w:val="0"/>
          <w:iCs w:val="0"/>
          <w:caps w:val="0"/>
          <w:color w:val="2B2B2B"/>
          <w:spacing w:val="0"/>
          <w:sz w:val="40"/>
          <w:szCs w:val="40"/>
          <w:shd w:val="clear" w:fill="FFFFFF"/>
        </w:rPr>
        <w:t>合作供应商</w:t>
      </w:r>
      <w:r>
        <w:rPr>
          <w:rFonts w:hint="eastAsia" w:ascii="宋体" w:hAnsi="宋体" w:eastAsia="宋体" w:cs="宋体"/>
          <w:b/>
          <w:bCs/>
          <w:i w:val="0"/>
          <w:iCs w:val="0"/>
          <w:caps w:val="0"/>
          <w:color w:val="2B2B2B"/>
          <w:spacing w:val="0"/>
          <w:sz w:val="40"/>
          <w:szCs w:val="40"/>
          <w:shd w:val="clear" w:fill="FFFFFF"/>
          <w:lang w:val="en-US" w:eastAsia="zh-CN"/>
        </w:rPr>
        <w:t>招募项目</w:t>
      </w:r>
    </w:p>
    <w:p>
      <w:pPr>
        <w:rPr>
          <w:rFonts w:hint="eastAsia"/>
          <w:sz w:val="44"/>
          <w:szCs w:val="44"/>
          <w:lang w:val="en-US" w:eastAsia="zh-CN"/>
        </w:rPr>
      </w:pPr>
    </w:p>
    <w:p>
      <w:pPr>
        <w:pStyle w:val="16"/>
        <w:rPr>
          <w:rFonts w:hint="eastAsia"/>
          <w:lang w:val="en-US" w:eastAsia="zh-CN"/>
        </w:rPr>
      </w:pPr>
    </w:p>
    <w:p>
      <w:pPr>
        <w:pStyle w:val="16"/>
        <w:rPr>
          <w:rFonts w:hint="eastAsia"/>
          <w:lang w:eastAsia="zh-CN"/>
        </w:rPr>
      </w:pPr>
    </w:p>
    <w:p>
      <w:pPr>
        <w:rPr>
          <w:rFonts w:hint="eastAsia"/>
          <w:lang w:eastAsia="zh-CN"/>
        </w:rPr>
      </w:pPr>
    </w:p>
    <w:p>
      <w:pPr>
        <w:jc w:val="center"/>
        <w:rPr>
          <w:b/>
          <w:sz w:val="96"/>
          <w:szCs w:val="96"/>
        </w:rPr>
      </w:pPr>
      <w:r>
        <w:rPr>
          <w:rFonts w:hint="eastAsia"/>
          <w:b/>
          <w:sz w:val="96"/>
          <w:szCs w:val="96"/>
        </w:rPr>
        <w:t>比</w:t>
      </w:r>
      <w:r>
        <w:rPr>
          <w:rFonts w:hint="eastAsia"/>
          <w:b/>
          <w:sz w:val="96"/>
          <w:szCs w:val="96"/>
          <w:lang w:val="en-US" w:eastAsia="zh-CN"/>
        </w:rPr>
        <w:t xml:space="preserve"> </w:t>
      </w:r>
      <w:r>
        <w:rPr>
          <w:rFonts w:hint="eastAsia"/>
          <w:b/>
          <w:sz w:val="96"/>
          <w:szCs w:val="96"/>
        </w:rPr>
        <w:t>选</w:t>
      </w:r>
      <w:r>
        <w:rPr>
          <w:rFonts w:hint="eastAsia"/>
          <w:b/>
          <w:sz w:val="96"/>
          <w:szCs w:val="96"/>
          <w:lang w:val="en-US" w:eastAsia="zh-CN"/>
        </w:rPr>
        <w:t xml:space="preserve"> </w:t>
      </w:r>
      <w:r>
        <w:rPr>
          <w:rFonts w:hint="eastAsia"/>
          <w:b/>
          <w:sz w:val="96"/>
          <w:szCs w:val="96"/>
        </w:rPr>
        <w:t>文</w:t>
      </w:r>
      <w:r>
        <w:rPr>
          <w:rFonts w:hint="eastAsia"/>
          <w:b/>
          <w:sz w:val="96"/>
          <w:szCs w:val="96"/>
          <w:lang w:val="en-US" w:eastAsia="zh-CN"/>
        </w:rPr>
        <w:t xml:space="preserve"> </w:t>
      </w:r>
      <w:r>
        <w:rPr>
          <w:rFonts w:hint="eastAsia"/>
          <w:b/>
          <w:sz w:val="96"/>
          <w:szCs w:val="96"/>
        </w:rPr>
        <w:t>件</w:t>
      </w:r>
    </w:p>
    <w:p>
      <w:pPr>
        <w:jc w:val="center"/>
        <w:rPr>
          <w:b/>
          <w:sz w:val="32"/>
          <w:szCs w:val="32"/>
        </w:rPr>
      </w:pPr>
    </w:p>
    <w:p>
      <w:pPr>
        <w:jc w:val="center"/>
        <w:rPr>
          <w:b/>
          <w:sz w:val="44"/>
          <w:szCs w:val="44"/>
        </w:rPr>
      </w:pPr>
    </w:p>
    <w:p>
      <w:pPr>
        <w:jc w:val="center"/>
        <w:rPr>
          <w:b/>
          <w:sz w:val="44"/>
          <w:szCs w:val="44"/>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rFonts w:hint="eastAsia" w:eastAsia="宋体"/>
          <w:sz w:val="36"/>
          <w:szCs w:val="36"/>
          <w:lang w:eastAsia="zh-CN"/>
        </w:rPr>
      </w:pPr>
      <w:r>
        <w:rPr>
          <w:rFonts w:hint="eastAsia"/>
          <w:sz w:val="36"/>
          <w:szCs w:val="36"/>
          <w:lang w:val="en-US" w:eastAsia="zh-CN"/>
        </w:rPr>
        <w:t>招标</w:t>
      </w:r>
      <w:r>
        <w:rPr>
          <w:rFonts w:hint="eastAsia"/>
          <w:sz w:val="36"/>
          <w:szCs w:val="36"/>
        </w:rPr>
        <w:t>人：石家庄亿隆管业有限公司</w:t>
      </w:r>
    </w:p>
    <w:p>
      <w:pPr>
        <w:rPr>
          <w:sz w:val="36"/>
          <w:szCs w:val="36"/>
        </w:rPr>
      </w:pPr>
    </w:p>
    <w:p>
      <w:pPr>
        <w:jc w:val="center"/>
        <w:rPr>
          <w:sz w:val="36"/>
          <w:szCs w:val="36"/>
        </w:rPr>
      </w:pPr>
      <w:r>
        <w:rPr>
          <w:rFonts w:hint="eastAsia"/>
          <w:sz w:val="36"/>
          <w:szCs w:val="36"/>
          <w:lang w:val="en-US" w:eastAsia="zh-CN"/>
        </w:rPr>
        <w:t xml:space="preserve">      </w:t>
      </w: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3"/>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w:t>
      </w:r>
      <w:r>
        <w:rPr>
          <w:rFonts w:hint="eastAsia"/>
          <w:sz w:val="32"/>
          <w:szCs w:val="32"/>
          <w:lang w:val="en-US" w:eastAsia="zh-CN"/>
        </w:rPr>
        <w:t>评审</w:t>
      </w:r>
      <w:r>
        <w:rPr>
          <w:rFonts w:hint="eastAsia"/>
          <w:sz w:val="32"/>
          <w:szCs w:val="32"/>
        </w:rPr>
        <w:t>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7"/>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招标人</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名称：石家庄亿隆管业有限公司</w:t>
            </w:r>
          </w:p>
          <w:p>
            <w:pPr>
              <w:spacing w:line="360" w:lineRule="auto"/>
              <w:rPr>
                <w:rFonts w:hint="eastAsia" w:ascii="宋体" w:hAnsi="宋体" w:eastAsia="宋体" w:cs="宋体"/>
                <w:sz w:val="22"/>
                <w:szCs w:val="22"/>
              </w:rPr>
            </w:pPr>
            <w:r>
              <w:rPr>
                <w:rFonts w:hint="eastAsia" w:ascii="宋体" w:hAnsi="宋体" w:eastAsia="宋体" w:cs="宋体"/>
                <w:sz w:val="22"/>
                <w:szCs w:val="22"/>
              </w:rPr>
              <w:t>地址：河北省石家庄高新区和平东路751号西配楼</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常博</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联系电话：</w:t>
            </w:r>
            <w:r>
              <w:rPr>
                <w:rFonts w:hint="eastAsia" w:ascii="宋体" w:hAnsi="宋体" w:cs="宋体"/>
                <w:sz w:val="22"/>
                <w:szCs w:val="22"/>
                <w:lang w:val="en-US" w:eastAsia="zh-CN"/>
              </w:rPr>
              <w:t>80901008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项目名称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石家庄亿隆管业有限公司 2024年度</w:t>
            </w:r>
            <w:r>
              <w:rPr>
                <w:rFonts w:hint="eastAsia" w:ascii="宋体" w:hAnsi="宋体" w:cs="宋体"/>
                <w:sz w:val="22"/>
                <w:szCs w:val="22"/>
                <w:lang w:eastAsia="zh-CN"/>
              </w:rPr>
              <w:t>镀锌铁皮</w:t>
            </w:r>
            <w:r>
              <w:rPr>
                <w:rFonts w:hint="eastAsia" w:ascii="宋体" w:hAnsi="宋体" w:cs="宋体"/>
                <w:sz w:val="22"/>
                <w:szCs w:val="22"/>
                <w:lang w:val="en-US" w:eastAsia="zh-CN"/>
              </w:rPr>
              <w:t>战略</w:t>
            </w:r>
            <w:r>
              <w:rPr>
                <w:rFonts w:hint="eastAsia" w:ascii="宋体" w:hAnsi="宋体" w:eastAsia="宋体" w:cs="宋体"/>
                <w:sz w:val="22"/>
                <w:szCs w:val="22"/>
              </w:rPr>
              <w:t>合作供应商</w:t>
            </w:r>
            <w:r>
              <w:rPr>
                <w:rFonts w:hint="eastAsia" w:ascii="宋体" w:hAnsi="宋体" w:eastAsia="宋体" w:cs="宋体"/>
                <w:sz w:val="22"/>
                <w:szCs w:val="22"/>
                <w:lang w:val="en-US" w:eastAsia="zh-CN"/>
              </w:rPr>
              <w:t>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合同期</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自合同签订后至2024年12月31日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交货地点</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河北省石家庄市无极县北苏镇北苏村潘成产业园或招标人指定地点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供货时间</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2"/>
                <w:szCs w:val="22"/>
                <w:highlight w:val="none"/>
              </w:rPr>
            </w:pPr>
            <w:r>
              <w:rPr>
                <w:rFonts w:hint="eastAsia" w:ascii="宋体" w:hAnsi="宋体" w:eastAsia="宋体" w:cs="宋体"/>
                <w:b w:val="0"/>
                <w:bCs/>
                <w:sz w:val="22"/>
                <w:szCs w:val="22"/>
                <w:highlight w:val="none"/>
              </w:rPr>
              <w:t>自接到订货单后10日开始交货，并满足生产需要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highlight w:val="none"/>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质量标准</w:t>
            </w:r>
          </w:p>
        </w:tc>
        <w:tc>
          <w:tcPr>
            <w:tcW w:w="528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符合国家、省、市及地方相关质量标准和</w:t>
            </w:r>
            <w:r>
              <w:rPr>
                <w:rFonts w:hint="eastAsia" w:ascii="宋体" w:hAnsi="宋体" w:cs="宋体"/>
                <w:sz w:val="22"/>
                <w:szCs w:val="22"/>
                <w:highlight w:val="none"/>
                <w:lang w:eastAsia="zh-CN"/>
              </w:rPr>
              <w:t>招标人</w:t>
            </w:r>
            <w:r>
              <w:rPr>
                <w:rFonts w:hint="eastAsia" w:ascii="宋体" w:hAnsi="宋体" w:eastAsia="宋体" w:cs="宋体"/>
                <w:sz w:val="22"/>
                <w:szCs w:val="22"/>
                <w:highlight w:val="none"/>
              </w:rPr>
              <w:t>的其他要求，保证所供产品为全新产品，具备出厂合格证。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比选申请人资格要求</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具备相应供货能力、持有有效营业执照、具有独立法人资格且财务状况良好的企业；</w:t>
            </w:r>
          </w:p>
          <w:p>
            <w:pPr>
              <w:spacing w:line="360" w:lineRule="auto"/>
              <w:rPr>
                <w:rFonts w:hint="eastAsia"/>
                <w:b w:val="0"/>
                <w:bCs w:val="0"/>
                <w:sz w:val="22"/>
                <w:szCs w:val="22"/>
                <w:highlight w:val="none"/>
                <w:lang w:val="en-US" w:eastAsia="zh-CN"/>
              </w:rPr>
            </w:pPr>
            <w:r>
              <w:rPr>
                <w:rFonts w:hint="eastAsia"/>
                <w:b w:val="0"/>
                <w:bCs w:val="0"/>
                <w:sz w:val="22"/>
                <w:szCs w:val="22"/>
                <w:highlight w:val="none"/>
                <w:lang w:val="en-US" w:eastAsia="zh-CN"/>
              </w:rPr>
              <w:t>2、近三年（2021年至2023年）至少3项单项合同金额在50万元以上的镀锌铁皮供货业绩（须提供合同或中标通知书或采购订单、发票等）。</w:t>
            </w:r>
          </w:p>
          <w:p>
            <w:pPr>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 xml:space="preserve">在评审工作结束前未被列入失信被执行人名单（以“信用中国”网站查询结果为准）； </w:t>
            </w:r>
          </w:p>
          <w:p>
            <w:pPr>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单位负责人为同一人或者存在控股、管理关系的不同单位，不得同时参加本项目比选；</w:t>
            </w:r>
          </w:p>
          <w:p>
            <w:pPr>
              <w:spacing w:line="360" w:lineRule="auto"/>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比选申请书递交地点及截止时间</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时间：</w:t>
            </w:r>
            <w:r>
              <w:rPr>
                <w:rFonts w:hint="eastAsia" w:ascii="宋体" w:hAnsi="宋体" w:cs="宋体"/>
                <w:color w:val="auto"/>
                <w:sz w:val="22"/>
                <w:szCs w:val="22"/>
                <w:highlight w:val="none"/>
                <w:lang w:val="en-US" w:eastAsia="zh-CN"/>
              </w:rPr>
              <w:t>2021</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下</w:t>
            </w:r>
            <w:r>
              <w:rPr>
                <w:rFonts w:hint="eastAsia" w:ascii="宋体" w:hAnsi="宋体" w:eastAsia="宋体" w:cs="宋体"/>
                <w:color w:val="auto"/>
                <w:sz w:val="22"/>
                <w:szCs w:val="22"/>
                <w:highlight w:val="none"/>
              </w:rPr>
              <w:t>午</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开启比选文件时间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和地点</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最高投标限价</w:t>
            </w:r>
          </w:p>
        </w:tc>
        <w:tc>
          <w:tcPr>
            <w:tcW w:w="5280"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sym w:font="Wingdings 2" w:char="0052"/>
            </w:r>
            <w:r>
              <w:rPr>
                <w:rFonts w:hint="eastAsia" w:ascii="宋体" w:hAnsi="宋体" w:eastAsia="宋体" w:cs="宋体"/>
                <w:b w:val="0"/>
                <w:bCs w:val="0"/>
                <w:kern w:val="2"/>
                <w:sz w:val="22"/>
                <w:szCs w:val="22"/>
                <w:lang w:val="en-US" w:eastAsia="zh-CN" w:bidi="ar-SA"/>
              </w:rPr>
              <w:t>无</w:t>
            </w:r>
          </w:p>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□有，最高投标限价XXX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报价的其他要求</w:t>
            </w:r>
          </w:p>
        </w:tc>
        <w:tc>
          <w:tcPr>
            <w:tcW w:w="5280"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严重偏离市场价格</w:t>
            </w:r>
            <w:r>
              <w:rPr>
                <w:rFonts w:hint="eastAsia" w:ascii="宋体" w:hAnsi="宋体" w:eastAsia="宋体" w:cs="宋体"/>
                <w:b w:val="0"/>
                <w:bCs w:val="0"/>
                <w:color w:val="auto"/>
                <w:sz w:val="22"/>
                <w:szCs w:val="22"/>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评审方法及标准 </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比选方法 </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综合评</w:t>
            </w:r>
            <w:r>
              <w:rPr>
                <w:rFonts w:hint="eastAsia" w:ascii="宋体" w:hAnsi="宋体" w:eastAsia="宋体" w:cs="宋体"/>
                <w:sz w:val="22"/>
                <w:szCs w:val="22"/>
                <w:lang w:val="en-US" w:eastAsia="zh-CN"/>
              </w:rPr>
              <w:t>审</w:t>
            </w:r>
            <w:r>
              <w:rPr>
                <w:rFonts w:hint="eastAsia" w:ascii="宋体" w:hAnsi="宋体" w:eastAsia="宋体" w:cs="宋体"/>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比选申请书份数</w:t>
            </w:r>
          </w:p>
        </w:tc>
        <w:tc>
          <w:tcPr>
            <w:tcW w:w="5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1份正本，</w:t>
            </w:r>
            <w:r>
              <w:rPr>
                <w:rFonts w:hint="eastAsia" w:ascii="宋体" w:hAnsi="宋体" w:eastAsia="宋体" w:cs="宋体"/>
                <w:sz w:val="22"/>
                <w:szCs w:val="22"/>
                <w:lang w:val="en-US" w:eastAsia="zh-CN"/>
              </w:rPr>
              <w:t>1</w:t>
            </w:r>
            <w:r>
              <w:rPr>
                <w:rFonts w:hint="eastAsia" w:ascii="宋体" w:hAnsi="宋体" w:eastAsia="宋体" w:cs="宋体"/>
                <w:sz w:val="22"/>
                <w:szCs w:val="22"/>
              </w:rPr>
              <w:t>份副本。电子文件：1份，（Word或PDF格式载体为</w:t>
            </w:r>
            <w:r>
              <w:rPr>
                <w:rFonts w:hint="eastAsia" w:ascii="宋体" w:hAnsi="宋体" w:eastAsia="宋体" w:cs="宋体"/>
                <w:sz w:val="22"/>
                <w:szCs w:val="22"/>
                <w:lang w:val="en-US" w:eastAsia="zh-CN"/>
              </w:rPr>
              <w:t>U</w:t>
            </w:r>
            <w:r>
              <w:rPr>
                <w:rFonts w:hint="eastAsia" w:ascii="宋体" w:hAnsi="宋体" w:eastAsia="宋体" w:cs="宋体"/>
                <w:sz w:val="22"/>
                <w:szCs w:val="22"/>
              </w:rPr>
              <w:t>盘）。</w:t>
            </w:r>
            <w:r>
              <w:rPr>
                <w:rFonts w:hint="eastAsia" w:ascii="宋体" w:hAnsi="宋体" w:eastAsia="宋体" w:cs="宋体"/>
                <w:sz w:val="22"/>
                <w:szCs w:val="22"/>
                <w:lang w:val="en-US" w:eastAsia="zh-CN"/>
              </w:rPr>
              <w:t>另手持一份授权委托书、身份证复印件。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比选有效期</w:t>
            </w:r>
          </w:p>
        </w:tc>
        <w:tc>
          <w:tcPr>
            <w:tcW w:w="52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注意事项</w:t>
            </w:r>
          </w:p>
        </w:tc>
        <w:tc>
          <w:tcPr>
            <w:tcW w:w="5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 xml:space="preserve">1、本项目所有投标文件经评标委员会综合评审后按得分由高到低排序。 </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sz w:val="22"/>
                <w:szCs w:val="22"/>
                <w:lang w:val="en-US" w:eastAsia="zh-CN"/>
              </w:rPr>
            </w:pPr>
            <w:r>
              <w:rPr>
                <w:rFonts w:hint="eastAsia" w:ascii="宋体" w:hAnsi="宋体" w:cs="宋体"/>
                <w:b/>
                <w:bCs/>
                <w:sz w:val="22"/>
                <w:szCs w:val="22"/>
              </w:rPr>
              <w:t>2、</w:t>
            </w:r>
            <w:r>
              <w:rPr>
                <w:rFonts w:hint="eastAsia" w:hAnsi="宋体" w:cs="宋体"/>
                <w:b/>
                <w:bCs/>
                <w:sz w:val="22"/>
                <w:szCs w:val="22"/>
                <w:lang w:val="en-US" w:eastAsia="zh-CN"/>
              </w:rPr>
              <w:t>本</w:t>
            </w:r>
            <w:r>
              <w:rPr>
                <w:rFonts w:hint="eastAsia" w:ascii="宋体" w:hAnsi="宋体" w:cs="宋体"/>
                <w:b/>
                <w:bCs/>
                <w:sz w:val="22"/>
                <w:szCs w:val="22"/>
              </w:rPr>
              <w:t>标段综合得分排名前</w:t>
            </w:r>
            <w:r>
              <w:rPr>
                <w:rFonts w:hint="eastAsia" w:hAnsi="宋体" w:cs="宋体"/>
                <w:b/>
                <w:bCs/>
                <w:sz w:val="22"/>
                <w:szCs w:val="22"/>
                <w:lang w:val="en-US" w:eastAsia="zh-CN"/>
              </w:rPr>
              <w:t>5</w:t>
            </w:r>
            <w:r>
              <w:rPr>
                <w:rFonts w:hint="eastAsia" w:ascii="宋体" w:hAnsi="宋体" w:cs="宋体"/>
                <w:b/>
                <w:bCs/>
                <w:sz w:val="22"/>
                <w:szCs w:val="22"/>
              </w:rPr>
              <w:t>名且需满足综合得分70分及以上</w:t>
            </w:r>
            <w:r>
              <w:rPr>
                <w:rFonts w:hint="eastAsia" w:hAnsi="宋体" w:cs="宋体"/>
                <w:b/>
                <w:bCs/>
                <w:sz w:val="22"/>
                <w:szCs w:val="22"/>
                <w:lang w:val="en-US" w:eastAsia="zh-CN"/>
              </w:rPr>
              <w:t>的</w:t>
            </w:r>
            <w:r>
              <w:rPr>
                <w:rFonts w:hint="eastAsia" w:ascii="宋体" w:hAnsi="宋体" w:cs="宋体"/>
                <w:b/>
                <w:bCs/>
                <w:sz w:val="22"/>
                <w:szCs w:val="22"/>
              </w:rPr>
              <w:t>投标人入围年度合作供应商，当有效投标人数量少于等于</w:t>
            </w:r>
            <w:r>
              <w:rPr>
                <w:rFonts w:hint="eastAsia" w:hAnsi="宋体" w:cs="宋体"/>
                <w:b/>
                <w:bCs/>
                <w:sz w:val="22"/>
                <w:szCs w:val="22"/>
                <w:lang w:val="en-US" w:eastAsia="zh-CN"/>
              </w:rPr>
              <w:t>5</w:t>
            </w:r>
            <w:r>
              <w:rPr>
                <w:rFonts w:hint="eastAsia" w:ascii="宋体" w:hAnsi="宋体" w:cs="宋体"/>
                <w:b/>
                <w:bCs/>
                <w:sz w:val="22"/>
                <w:szCs w:val="22"/>
              </w:rPr>
              <w:t>家时，有效的供应商满足综合得分70分以上的全部入围</w:t>
            </w:r>
            <w:r>
              <w:rPr>
                <w:rFonts w:hint="eastAsia" w:hAnsi="宋体" w:cs="宋体"/>
                <w:b/>
                <w:bCs/>
                <w:sz w:val="22"/>
                <w:szCs w:val="22"/>
                <w:lang w:val="en-US" w:eastAsia="zh-CN"/>
              </w:rPr>
              <w:t>.</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3、招标人按照评标委员会推荐的候选单位顺序依次确定入围单位。排名靠前的单位因自身原因放弃入围资格的，招标人可以确定排位在入围单位名单之后第一位为候补入围单位，以此类推；也可重新招标。</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kern w:val="2"/>
                <w:sz w:val="22"/>
                <w:szCs w:val="22"/>
                <w:lang w:val="en-US" w:eastAsia="zh-CN" w:bidi="ar-SA"/>
              </w:rPr>
            </w:pPr>
            <w:r>
              <w:rPr>
                <w:rFonts w:hint="eastAsia" w:ascii="宋体" w:hAnsi="宋体" w:cs="宋体"/>
                <w:b/>
                <w:bCs/>
                <w:sz w:val="22"/>
                <w:szCs w:val="22"/>
              </w:rPr>
              <w:t>4、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其他说明</w:t>
            </w:r>
          </w:p>
        </w:tc>
        <w:tc>
          <w:tcPr>
            <w:tcW w:w="5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lang w:val="en-US" w:eastAsia="zh-CN"/>
              </w:rPr>
              <w:t>1、</w:t>
            </w:r>
            <w:r>
              <w:rPr>
                <w:rFonts w:hint="eastAsia" w:ascii="宋体" w:hAnsi="宋体" w:cs="宋体"/>
                <w:b/>
                <w:bCs/>
                <w:sz w:val="22"/>
                <w:szCs w:val="22"/>
              </w:rPr>
              <w:t>本次招募确定战略合作供应商后，在后期具体项目实施时，招标人将采用询价或其他比较方式，综合考虑企业报价、产品综合指标及以往服务质量等因素，确定具体项目的实施供应商；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2、在合同期内，入围年度战略合作供应商获得具体订货单数量和规模不保证，请各投标人考虑投标风险；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3、在合同期内，招标人将对各战略合作供应商的服务质量及产品质量等进行综合考核，对考核排名较差的单位，招标人有权与其终止合同；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4、在合同期内，招标人不保证所有货品均从各战略合作供应商处采购，招标人可根据市场变化、企业规模变化、需求量变化及各合作供应商服务质量、产品质量等因素，另行选购。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b/>
                <w:bCs/>
                <w:kern w:val="2"/>
                <w:sz w:val="22"/>
                <w:szCs w:val="22"/>
                <w:lang w:val="en-US" w:eastAsia="zh-CN" w:bidi="ar-SA"/>
              </w:rPr>
            </w:pPr>
            <w:r>
              <w:rPr>
                <w:rFonts w:hint="eastAsia" w:ascii="宋体" w:hAnsi="宋体" w:cs="宋体"/>
                <w:b/>
                <w:bCs/>
                <w:sz w:val="22"/>
                <w:szCs w:val="22"/>
              </w:rPr>
              <w:t>5、货物具体技术指标以甲方实际订单中的约定为准。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相互串通投标、弄虚作假等行为</w:t>
            </w:r>
          </w:p>
        </w:tc>
        <w:tc>
          <w:tcPr>
            <w:tcW w:w="5280"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禁止投标人相互串通投标、弄虚作假等行为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1.有下列情况之一的，视为投标人相互串通投标：</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（1）不同投标人的投标文件由同一单位或者个人编制；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（2）不同投标人委托同一单位或者个人办理投标事宜；</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（3）不同投标人的投标文件载明的项目管理成员为同一人；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（4）不同投标人的投标文件异常一致或者投标报价呈规律性差异；</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（5）不同投标人的投标文件相互混装；</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（6）不同投标人的投标保证金从同一单位或者个人的账户转出。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2.投标人有下列情况之一的，属于弄虚作假的行为：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（1）使用伪造、变造的许可证件；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（2）提供虚假的财务状况；</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（3）提供虚假的项目负责人或者主要技术人员简历、劳动关系证明；</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（4）提供虚假的信用状况或相关业绩；</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（5）其他弄虚作假的行为。</w:t>
            </w:r>
          </w:p>
          <w:p>
            <w:pPr>
              <w:pStyle w:val="6"/>
              <w:spacing w:line="360" w:lineRule="exact"/>
              <w:jc w:val="left"/>
              <w:rPr>
                <w:rFonts w:hint="eastAsia" w:ascii="宋体" w:hAnsi="宋体" w:eastAsia="宋体" w:cs="宋体"/>
                <w:b/>
                <w:bCs/>
                <w:kern w:val="2"/>
                <w:sz w:val="22"/>
                <w:szCs w:val="22"/>
                <w:highlight w:val="none"/>
                <w:lang w:val="en-US" w:eastAsia="zh-CN" w:bidi="ar-SA"/>
              </w:rPr>
            </w:pPr>
            <w:r>
              <w:rPr>
                <w:rFonts w:hint="default" w:ascii="宋体" w:hAnsi="宋体" w:cs="宋体"/>
                <w:b/>
                <w:bCs/>
                <w:sz w:val="22"/>
                <w:szCs w:val="22"/>
                <w:highlight w:val="none"/>
                <w:lang w:val="en-US" w:eastAsia="zh-CN"/>
              </w:rPr>
              <w:t>3.如投标人出现以上相互串通投标、弄虚作假行为或其他违法行为，按无效招标处理，取消其成</w:t>
            </w:r>
            <w:r>
              <w:rPr>
                <w:rFonts w:hint="eastAsia" w:hAnsi="宋体" w:cs="宋体"/>
                <w:b/>
                <w:bCs/>
                <w:sz w:val="22"/>
                <w:szCs w:val="22"/>
                <w:highlight w:val="none"/>
                <w:lang w:val="en-US" w:eastAsia="zh-CN"/>
              </w:rPr>
              <w:t>入围</w:t>
            </w:r>
            <w:r>
              <w:rPr>
                <w:rFonts w:hint="default" w:ascii="宋体" w:hAnsi="宋体" w:cs="宋体"/>
                <w:b/>
                <w:bCs/>
                <w:sz w:val="22"/>
                <w:szCs w:val="22"/>
                <w:highlight w:val="none"/>
                <w:lang w:val="en-US" w:eastAsia="zh-CN"/>
              </w:rPr>
              <w:t>资格</w:t>
            </w:r>
            <w:r>
              <w:rPr>
                <w:rFonts w:hint="eastAsia" w:hAnsi="宋体" w:cs="宋体"/>
                <w:b/>
                <w:bCs/>
                <w:sz w:val="22"/>
                <w:szCs w:val="22"/>
                <w:highlight w:val="none"/>
                <w:lang w:val="en-US" w:eastAsia="zh-CN"/>
              </w:rPr>
              <w:t>，并拉入黑名单限制其1年参与招标人及集团所属企业的所有招投标活动。</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w:t>
      </w:r>
      <w:r>
        <w:rPr>
          <w:rFonts w:hint="eastAsia" w:asciiTheme="minorEastAsia" w:hAnsiTheme="minorEastAsia" w:eastAsiaTheme="minorEastAsia" w:cstheme="minorEastAsia"/>
          <w:sz w:val="24"/>
          <w:szCs w:val="24"/>
          <w:lang w:val="en-US" w:eastAsia="zh-CN"/>
        </w:rPr>
        <w:t>单</w:t>
      </w:r>
      <w:r>
        <w:rPr>
          <w:rFonts w:hint="eastAsia" w:asciiTheme="minorEastAsia" w:hAnsiTheme="minorEastAsia" w:eastAsiaTheme="minorEastAsia" w:cstheme="minorEastAsia"/>
          <w:sz w:val="24"/>
          <w:szCs w:val="24"/>
        </w:rPr>
        <w:t>价报价。比选报价必须包含完成本项目所需的</w:t>
      </w:r>
      <w:r>
        <w:rPr>
          <w:rFonts w:hint="eastAsia" w:asciiTheme="minorEastAsia" w:hAnsiTheme="minorEastAsia" w:eastAsiaTheme="minorEastAsia" w:cstheme="minorEastAsia"/>
          <w:sz w:val="24"/>
          <w:szCs w:val="24"/>
          <w:lang w:val="en-US" w:eastAsia="zh-CN"/>
        </w:rPr>
        <w:t>出厂价、包装费、运输费、</w:t>
      </w:r>
      <w:r>
        <w:rPr>
          <w:rFonts w:hint="eastAsia" w:asciiTheme="minorEastAsia" w:hAnsiTheme="minorEastAsia" w:eastAsiaTheme="minorEastAsia" w:cstheme="minorEastAsia"/>
          <w:sz w:val="24"/>
          <w:szCs w:val="24"/>
        </w:rPr>
        <w:t>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widowControl/>
        <w:numPr>
          <w:ilvl w:val="0"/>
          <w:numId w:val="2"/>
        </w:numPr>
        <w:spacing w:line="500" w:lineRule="exact"/>
        <w:ind w:firstLine="542" w:firstLineChars="200"/>
        <w:jc w:val="left"/>
        <w:rPr>
          <w:rFonts w:hint="eastAsia" w:ascii="宋体" w:hAnsi="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申请文件的格式</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文件应按第三章“比选申请文件格式”内容顺序编制，提交的申请文件必须包括但不限于格式中所列内容。应保证提供资料的真实性，并承担相应的法律责任，一旦查实提供资料存在弄虚作假等情况，将直接取消比选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83" w:firstLineChars="300"/>
        <w:rPr>
          <w:rFonts w:hint="eastAsia" w:ascii="宋体" w:hAnsi="宋体" w:eastAsia="宋体" w:cs="宋体"/>
          <w:color w:val="2B2B2B"/>
        </w:rPr>
      </w:pPr>
      <w:r>
        <w:rPr>
          <w:rStyle w:val="20"/>
          <w:rFonts w:hint="eastAsia" w:ascii="宋体" w:hAnsi="宋体" w:cs="宋体"/>
          <w:b/>
          <w:bCs/>
          <w:i w:val="0"/>
          <w:iCs w:val="0"/>
          <w:caps w:val="0"/>
          <w:color w:val="2B2B2B"/>
          <w:spacing w:val="0"/>
          <w:sz w:val="27"/>
          <w:szCs w:val="27"/>
          <w:shd w:val="clear" w:fill="FFFFFF"/>
          <w:lang w:val="en-US" w:eastAsia="zh-CN"/>
        </w:rPr>
        <w:t>4、</w:t>
      </w:r>
      <w:r>
        <w:rPr>
          <w:rStyle w:val="20"/>
          <w:rFonts w:hint="eastAsia" w:ascii="宋体" w:hAnsi="宋体" w:eastAsia="宋体" w:cs="宋体"/>
          <w:b/>
          <w:bCs/>
          <w:i w:val="0"/>
          <w:iCs w:val="0"/>
          <w:caps w:val="0"/>
          <w:color w:val="2B2B2B"/>
          <w:spacing w:val="0"/>
          <w:sz w:val="27"/>
          <w:szCs w:val="27"/>
          <w:shd w:val="clear" w:fill="FFFFFF"/>
        </w:rPr>
        <w:t>比选申请文件的递交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本次比选采用线下方式进行。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.2参与线下方式的比选申请人在截止时间前将纸质版比选申请文件进行递交。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.3比选申请文件递交截止时间：202</w:t>
      </w:r>
      <w:r>
        <w:rPr>
          <w:rFonts w:hint="eastAsia" w:ascii="宋体" w:hAnsi="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年</w:t>
      </w:r>
      <w:r>
        <w:rPr>
          <w:rFonts w:hint="eastAsia" w:ascii="宋体" w:hAnsi="宋体" w:cs="宋体"/>
          <w:i w:val="0"/>
          <w:iCs w:val="0"/>
          <w:caps w:val="0"/>
          <w:color w:val="2B2B2B"/>
          <w:spacing w:val="0"/>
          <w:sz w:val="24"/>
          <w:szCs w:val="24"/>
          <w:highlight w:val="none"/>
          <w:shd w:val="clear" w:fill="FFFFFF"/>
          <w:lang w:val="en-US" w:eastAsia="zh-CN"/>
        </w:rPr>
        <w:t>3</w:t>
      </w:r>
      <w:r>
        <w:rPr>
          <w:rFonts w:hint="eastAsia" w:ascii="宋体" w:hAnsi="宋体" w:eastAsia="宋体" w:cs="宋体"/>
          <w:i w:val="0"/>
          <w:iCs w:val="0"/>
          <w:caps w:val="0"/>
          <w:color w:val="2B2B2B"/>
          <w:spacing w:val="0"/>
          <w:sz w:val="24"/>
          <w:szCs w:val="24"/>
          <w:highlight w:val="none"/>
          <w:shd w:val="clear" w:fill="FFFFFF"/>
        </w:rPr>
        <w:t>月</w:t>
      </w:r>
      <w:r>
        <w:rPr>
          <w:rFonts w:hint="eastAsia" w:ascii="宋体" w:hAnsi="宋体" w:cs="宋体"/>
          <w:i w:val="0"/>
          <w:iCs w:val="0"/>
          <w:caps w:val="0"/>
          <w:color w:val="2B2B2B"/>
          <w:spacing w:val="0"/>
          <w:sz w:val="24"/>
          <w:szCs w:val="24"/>
          <w:highlight w:val="none"/>
          <w:shd w:val="clear" w:fill="FFFFFF"/>
          <w:lang w:val="en-US" w:eastAsia="zh-CN"/>
        </w:rPr>
        <w:t>18</w:t>
      </w:r>
      <w:r>
        <w:rPr>
          <w:rFonts w:hint="eastAsia" w:ascii="宋体" w:hAnsi="宋体" w:eastAsia="宋体" w:cs="宋体"/>
          <w:i w:val="0"/>
          <w:iCs w:val="0"/>
          <w:caps w:val="0"/>
          <w:color w:val="2B2B2B"/>
          <w:spacing w:val="0"/>
          <w:sz w:val="24"/>
          <w:szCs w:val="24"/>
          <w:highlight w:val="none"/>
          <w:shd w:val="clear" w:fill="FFFFFF"/>
        </w:rPr>
        <w:t>日下午</w:t>
      </w:r>
      <w:r>
        <w:rPr>
          <w:rFonts w:hint="eastAsia" w:ascii="宋体" w:hAnsi="宋体" w:cs="宋体"/>
          <w:i w:val="0"/>
          <w:iCs w:val="0"/>
          <w:caps w:val="0"/>
          <w:color w:val="2B2B2B"/>
          <w:spacing w:val="0"/>
          <w:sz w:val="24"/>
          <w:szCs w:val="24"/>
          <w:highlight w:val="none"/>
          <w:shd w:val="clear" w:fill="FFFFFF"/>
          <w:lang w:val="en-US" w:eastAsia="zh-CN"/>
        </w:rPr>
        <w:t>15</w:t>
      </w:r>
      <w:r>
        <w:rPr>
          <w:rFonts w:hint="eastAsia" w:ascii="宋体" w:hAnsi="宋体" w:eastAsia="宋体" w:cs="宋体"/>
          <w:i w:val="0"/>
          <w:iCs w:val="0"/>
          <w:caps w:val="0"/>
          <w:color w:val="2B2B2B"/>
          <w:spacing w:val="0"/>
          <w:sz w:val="24"/>
          <w:szCs w:val="24"/>
          <w:highlight w:val="none"/>
          <w:shd w:val="clear" w:fill="FFFFFF"/>
        </w:rPr>
        <w:t>时00分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.4比选申请文件递交的地址：石家庄市和平东路751号西配楼2楼会议室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4.5申请文件有下列情形之一的，</w:t>
      </w:r>
      <w:r>
        <w:rPr>
          <w:rFonts w:hint="eastAsia" w:ascii="宋体" w:hAnsi="宋体" w:cs="宋体"/>
          <w:i w:val="0"/>
          <w:iCs w:val="0"/>
          <w:caps w:val="0"/>
          <w:color w:val="2B2B2B"/>
          <w:spacing w:val="0"/>
          <w:sz w:val="24"/>
          <w:szCs w:val="24"/>
          <w:shd w:val="clear" w:fill="FFFFFF"/>
          <w:lang w:val="en-US" w:eastAsia="zh-CN"/>
        </w:rPr>
        <w:t>招标人</w:t>
      </w:r>
      <w:r>
        <w:rPr>
          <w:rFonts w:hint="eastAsia" w:ascii="宋体" w:hAnsi="宋体" w:eastAsia="宋体" w:cs="宋体"/>
          <w:i w:val="0"/>
          <w:iCs w:val="0"/>
          <w:caps w:val="0"/>
          <w:color w:val="2B2B2B"/>
          <w:spacing w:val="0"/>
          <w:sz w:val="24"/>
          <w:szCs w:val="24"/>
          <w:shd w:val="clear" w:fill="FFFFFF"/>
          <w:lang w:val="en-US" w:eastAsia="zh-CN"/>
        </w:rPr>
        <w:t>不予受理：</w:t>
      </w:r>
      <w:bookmarkStart w:id="13" w:name="_GoBack"/>
      <w:bookmarkEnd w:id="13"/>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4.5.1</w:t>
      </w:r>
      <w:r>
        <w:rPr>
          <w:rFonts w:hint="eastAsia" w:ascii="宋体" w:hAnsi="宋体" w:eastAsia="宋体" w:cs="宋体"/>
          <w:i w:val="0"/>
          <w:iCs w:val="0"/>
          <w:caps w:val="0"/>
          <w:color w:val="2B2B2B"/>
          <w:spacing w:val="0"/>
          <w:sz w:val="24"/>
          <w:szCs w:val="24"/>
          <w:shd w:val="clear" w:fill="FFFFFF"/>
          <w:lang w:val="en-US" w:eastAsia="zh-CN"/>
        </w:rPr>
        <w:t xml:space="preserve"> 逾期送达的或者未送达指定地点的；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w:t>
      </w:r>
      <w:r>
        <w:rPr>
          <w:rFonts w:hint="eastAsia" w:ascii="宋体" w:hAnsi="宋体" w:eastAsia="宋体" w:cs="宋体"/>
          <w:i w:val="0"/>
          <w:iCs w:val="0"/>
          <w:caps w:val="0"/>
          <w:color w:val="2B2B2B"/>
          <w:spacing w:val="0"/>
          <w:sz w:val="24"/>
          <w:szCs w:val="24"/>
          <w:shd w:val="clear" w:fill="FFFFFF"/>
          <w:lang w:val="en-US" w:eastAsia="zh-CN"/>
        </w:rPr>
        <w:t>2 未按比选文件要求密封、装订的；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4.5.3</w:t>
      </w:r>
      <w:r>
        <w:rPr>
          <w:rFonts w:hint="eastAsia" w:ascii="宋体" w:hAnsi="宋体" w:eastAsia="宋体" w:cs="宋体"/>
          <w:i w:val="0"/>
          <w:iCs w:val="0"/>
          <w:caps w:val="0"/>
          <w:color w:val="2B2B2B"/>
          <w:spacing w:val="0"/>
          <w:sz w:val="24"/>
          <w:szCs w:val="24"/>
          <w:shd w:val="clear" w:fill="FFFFFF"/>
          <w:lang w:val="en-US" w:eastAsia="zh-CN"/>
        </w:rPr>
        <w:t>申请文件有下列情形之一的，由评标委员会初审后按废标处理：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（1）无单位或法定代表人盖章的；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（2）无法定代表人出具的授权委托书的；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（3）未按规定的格式填写，内容不全或关键字迹模糊、无法辨认的；</w:t>
      </w:r>
    </w:p>
    <w:p>
      <w:pPr>
        <w:rPr>
          <w:rFonts w:hint="default"/>
          <w:sz w:val="24"/>
          <w:szCs w:val="24"/>
          <w:lang w:val="en-US" w:eastAsia="zh-CN"/>
        </w:rPr>
      </w:pP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 xml:space="preserve">、中选 </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中选结果将在石家庄市供热管理集团有限公司官网ttps://www.sjzsgrjt.com/上发布，请各位申请人关注公告。</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如出现重大变故，比选项目取消的，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保留因此原因在授标之前任何时候接受或拒绝任何响应，以及宣布比选无效或拒绝所有响应的权力，对受影响的参选人不承担任何责任。</w:t>
      </w:r>
    </w:p>
    <w:p>
      <w:pPr>
        <w:widowControl/>
        <w:spacing w:line="500" w:lineRule="exact"/>
        <w:ind w:firstLine="542" w:firstLineChars="200"/>
        <w:jc w:val="left"/>
        <w:rPr>
          <w:rFonts w:hint="default" w:ascii="宋体" w:hAnsi="宋体" w:eastAsia="宋体"/>
          <w:b/>
          <w:bCs/>
          <w:kern w:val="0"/>
          <w:sz w:val="28"/>
          <w:szCs w:val="28"/>
          <w:shd w:val="clear" w:color="auto" w:fill="FFFFFF"/>
          <w:lang w:val="en-US" w:eastAsia="zh-CN"/>
        </w:rPr>
      </w:pPr>
      <w:bookmarkStart w:id="0" w:name="_Toc332902384"/>
      <w:bookmarkStart w:id="1" w:name="_Toc15363"/>
      <w:bookmarkStart w:id="2" w:name="_Toc17162"/>
      <w:bookmarkStart w:id="3" w:name="_Toc25879"/>
      <w:bookmarkStart w:id="4" w:name="_Toc5218"/>
      <w:bookmarkStart w:id="5" w:name="_Toc9326"/>
      <w:bookmarkStart w:id="6" w:name="_Toc24761"/>
      <w:bookmarkStart w:id="7" w:name="_Toc10509"/>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bookmarkEnd w:id="0"/>
      <w:bookmarkEnd w:id="1"/>
      <w:bookmarkEnd w:id="2"/>
      <w:bookmarkEnd w:id="3"/>
      <w:bookmarkEnd w:id="4"/>
      <w:bookmarkEnd w:id="5"/>
      <w:bookmarkEnd w:id="6"/>
      <w:bookmarkEnd w:id="7"/>
      <w:r>
        <w:rPr>
          <w:rFonts w:hint="eastAsia" w:ascii="宋体" w:hAnsi="宋体"/>
          <w:b/>
          <w:bCs/>
          <w:kern w:val="0"/>
          <w:sz w:val="28"/>
          <w:szCs w:val="28"/>
          <w:shd w:val="clear" w:color="auto" w:fill="FFFFFF"/>
          <w:lang w:val="en-US" w:eastAsia="zh-CN"/>
        </w:rPr>
        <w:t>协议签订</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1中选人应在规定时间内与</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签订</w:t>
      </w:r>
      <w:r>
        <w:rPr>
          <w:rFonts w:hint="eastAsia" w:asciiTheme="minorEastAsia" w:hAnsiTheme="minorEastAsia" w:eastAsiaTheme="minorEastAsia" w:cstheme="minorEastAsia"/>
          <w:sz w:val="24"/>
          <w:szCs w:val="24"/>
          <w:lang w:val="en-US" w:eastAsia="zh-CN"/>
        </w:rPr>
        <w:t>合作</w:t>
      </w:r>
      <w:r>
        <w:rPr>
          <w:rFonts w:hint="eastAsia" w:asciiTheme="minorEastAsia" w:hAnsiTheme="minorEastAsia" w:eastAsiaTheme="minorEastAsia" w:cstheme="minorEastAsia"/>
          <w:sz w:val="24"/>
          <w:szCs w:val="24"/>
        </w:rPr>
        <w:t>协议，中选人即在协议期内具备参加</w:t>
      </w: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竞争报价和成交后供货的权利。</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2中选人无正当拒不签订合同、提出不合理要求或篡改合同的，将视为主动放弃中选。</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可以按照评审报告推荐的中选候选人名单排序，确定下一中选候选人为中选人，也可以重新比选。</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6.3在合同期内，采购人根据使用需求的不同，每次采购物资前通过对中选单位进行询价、比价，确认合理低价中选人为供货人。</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r>
        <w:rPr>
          <w:rFonts w:hint="default" w:asciiTheme="minorEastAsia" w:hAnsiTheme="minorEastAsia" w:eastAsiaTheme="minorEastAsia" w:cstheme="minorEastAsia"/>
          <w:sz w:val="24"/>
          <w:szCs w:val="24"/>
          <w:lang w:val="en-US" w:eastAsia="zh-CN"/>
        </w:rPr>
        <w:t xml:space="preserve"> 确定成交的</w:t>
      </w:r>
      <w:r>
        <w:rPr>
          <w:rFonts w:hint="eastAsia" w:asciiTheme="minorEastAsia" w:hAnsiTheme="minorEastAsia" w:eastAsiaTheme="minorEastAsia" w:cstheme="minorEastAsia"/>
          <w:sz w:val="24"/>
          <w:szCs w:val="24"/>
          <w:lang w:val="en-US" w:eastAsia="zh-CN"/>
        </w:rPr>
        <w:t>中选人</w:t>
      </w:r>
      <w:r>
        <w:rPr>
          <w:rFonts w:hint="default" w:asciiTheme="minorEastAsia" w:hAnsiTheme="minorEastAsia" w:eastAsiaTheme="minorEastAsia" w:cstheme="minorEastAsia"/>
          <w:sz w:val="24"/>
          <w:szCs w:val="24"/>
          <w:lang w:val="en-US" w:eastAsia="zh-CN"/>
        </w:rPr>
        <w:t>在承诺供货周期内将货物送达</w:t>
      </w:r>
      <w:r>
        <w:rPr>
          <w:rFonts w:hint="eastAsia" w:asciiTheme="minorEastAsia" w:hAnsiTheme="minorEastAsia" w:eastAsiaTheme="minorEastAsia" w:cstheme="minorEastAsia"/>
          <w:sz w:val="24"/>
          <w:szCs w:val="24"/>
          <w:lang w:val="en-US" w:eastAsia="zh-CN"/>
        </w:rPr>
        <w:t>招标人</w:t>
      </w:r>
      <w:r>
        <w:rPr>
          <w:rFonts w:hint="default" w:asciiTheme="minorEastAsia" w:hAnsiTheme="minorEastAsia" w:eastAsiaTheme="minorEastAsia" w:cstheme="minorEastAsia"/>
          <w:sz w:val="24"/>
          <w:szCs w:val="24"/>
          <w:lang w:val="en-US" w:eastAsia="zh-CN"/>
        </w:rPr>
        <w:t>指定地点</w:t>
      </w:r>
      <w:r>
        <w:rPr>
          <w:rFonts w:hint="eastAsia" w:asciiTheme="minorEastAsia" w:hAnsiTheme="minorEastAsia" w:eastAsiaTheme="minorEastAsia" w:cstheme="minorEastAsia"/>
          <w:sz w:val="24"/>
          <w:szCs w:val="24"/>
          <w:lang w:val="en-US" w:eastAsia="zh-CN"/>
        </w:rPr>
        <w:t>。</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6.5付款方式：以实际采购时注明的付款方式为准。</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3"/>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3"/>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widowControl/>
        <w:spacing w:line="360" w:lineRule="auto"/>
        <w:jc w:val="center"/>
        <w:rPr>
          <w:rFonts w:hint="default" w:ascii="宋体" w:hAnsi="宋体" w:eastAsia="宋体"/>
          <w:b/>
          <w:bCs/>
          <w:kern w:val="0"/>
          <w:sz w:val="36"/>
          <w:szCs w:val="36"/>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val="en-US" w:eastAsia="zh-CN"/>
        </w:rPr>
        <w:t>镀锌铁皮战略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3"/>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2024年度</w:t>
      </w:r>
      <w:r>
        <w:rPr>
          <w:rFonts w:hint="eastAsia" w:ascii="宋体" w:hAnsi="宋体" w:cs="宋体"/>
          <w:color w:val="000000"/>
          <w:sz w:val="24"/>
          <w:szCs w:val="24"/>
          <w:highlight w:val="none"/>
          <w:u w:val="single"/>
          <w:lang w:val="en-US" w:eastAsia="zh-CN"/>
        </w:rPr>
        <w:t>镀锌铁皮战略</w:t>
      </w:r>
      <w:r>
        <w:rPr>
          <w:rFonts w:hint="eastAsia" w:ascii="宋体" w:hAnsi="宋体" w:eastAsia="宋体" w:cs="宋体"/>
          <w:color w:val="000000"/>
          <w:sz w:val="24"/>
          <w:szCs w:val="24"/>
          <w:u w:val="single"/>
          <w:lang w:val="en-US" w:eastAsia="zh-CN"/>
        </w:rPr>
        <w:t xml:space="preserve">合作供应商招募项目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镀锌铁皮战略</w:t>
      </w:r>
      <w:r>
        <w:rPr>
          <w:rFonts w:hint="eastAsia" w:ascii="宋体" w:hAnsi="宋体" w:eastAsia="宋体" w:cs="宋体"/>
          <w:sz w:val="24"/>
          <w:szCs w:val="24"/>
          <w:u w:val="single"/>
        </w:rPr>
        <w:t>合作供应商招募项目</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w:t>
      </w:r>
      <w:r>
        <w:rPr>
          <w:rFonts w:hint="eastAsia"/>
          <w:sz w:val="24"/>
          <w:szCs w:val="24"/>
          <w:u w:val="single"/>
          <w:lang w:eastAsia="zh-CN"/>
        </w:rPr>
        <w:t>招标人</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镀锌铁皮战略</w:t>
      </w:r>
      <w:r>
        <w:rPr>
          <w:rFonts w:hint="eastAsia" w:ascii="宋体" w:hAnsi="宋体" w:eastAsia="宋体" w:cs="宋体"/>
          <w:sz w:val="24"/>
          <w:szCs w:val="24"/>
          <w:u w:val="single"/>
        </w:rPr>
        <w:t>合作供应商招募项目</w:t>
      </w:r>
      <w:r>
        <w:rPr>
          <w:rFonts w:hint="eastAsia"/>
          <w:sz w:val="24"/>
          <w:szCs w:val="24"/>
          <w:u w:val="single"/>
        </w:rPr>
        <w:t xml:space="preserve">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3"/>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3"/>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pStyle w:val="23"/>
        <w:jc w:val="center"/>
        <w:rPr>
          <w:rFonts w:hint="eastAsia"/>
          <w:b/>
          <w:bCs/>
          <w:color w:val="auto"/>
          <w:sz w:val="30"/>
          <w:szCs w:val="30"/>
        </w:rPr>
      </w:pPr>
      <w:r>
        <w:rPr>
          <w:rFonts w:hint="eastAsia"/>
          <w:b/>
          <w:bCs/>
          <w:color w:val="auto"/>
          <w:sz w:val="30"/>
          <w:szCs w:val="30"/>
          <w:lang w:val="en-US" w:eastAsia="zh-CN"/>
        </w:rPr>
        <w:t>镀锌铁皮分项</w:t>
      </w:r>
      <w:r>
        <w:rPr>
          <w:rFonts w:hint="eastAsia"/>
          <w:b/>
          <w:bCs/>
          <w:color w:val="auto"/>
          <w:sz w:val="30"/>
          <w:szCs w:val="30"/>
        </w:rPr>
        <w:t>报价表</w:t>
      </w:r>
    </w:p>
    <w:p>
      <w:pPr>
        <w:pStyle w:val="6"/>
        <w:jc w:val="right"/>
        <w:rPr>
          <w:rFonts w:hint="default" w:eastAsia="宋体"/>
          <w:b w:val="0"/>
          <w:bCs/>
          <w:sz w:val="28"/>
          <w:szCs w:val="28"/>
          <w:lang w:val="en-US" w:eastAsia="zh-CN"/>
        </w:rPr>
      </w:pPr>
      <w:r>
        <w:rPr>
          <w:rFonts w:hint="eastAsia"/>
          <w:b w:val="0"/>
          <w:bCs/>
          <w:color w:val="auto"/>
          <w:sz w:val="28"/>
          <w:szCs w:val="28"/>
          <w:lang w:val="en-US" w:eastAsia="zh-CN"/>
        </w:rPr>
        <w:t>单位：元</w:t>
      </w:r>
    </w:p>
    <w:tbl>
      <w:tblPr>
        <w:tblStyle w:val="17"/>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39"/>
        <w:gridCol w:w="1241"/>
        <w:gridCol w:w="968"/>
        <w:gridCol w:w="1754"/>
        <w:gridCol w:w="1620"/>
        <w:gridCol w:w="133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序号</w:t>
            </w:r>
          </w:p>
        </w:tc>
        <w:tc>
          <w:tcPr>
            <w:tcW w:w="1239"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货物</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名称</w:t>
            </w:r>
          </w:p>
        </w:tc>
        <w:tc>
          <w:tcPr>
            <w:tcW w:w="1241" w:type="dxa"/>
            <w:vMerge w:val="restart"/>
            <w:noWrap w:val="0"/>
            <w:vAlign w:val="center"/>
          </w:tcPr>
          <w:p>
            <w:pPr>
              <w:spacing w:line="240" w:lineRule="auto"/>
              <w:jc w:val="center"/>
              <w:rPr>
                <w:rFonts w:hint="eastAsia" w:ascii="宋体" w:hAnsi="宋体" w:eastAsia="宋体"/>
                <w:sz w:val="22"/>
                <w:szCs w:val="22"/>
                <w:lang w:val="en-US" w:eastAsia="zh-CN"/>
              </w:rPr>
            </w:pPr>
            <w:r>
              <w:rPr>
                <w:rFonts w:hint="eastAsia" w:ascii="宋体" w:hAnsi="宋体" w:cs="宋体"/>
                <w:sz w:val="22"/>
                <w:szCs w:val="22"/>
              </w:rPr>
              <w:t>板宽</w:t>
            </w:r>
            <w:r>
              <w:rPr>
                <w:rFonts w:hint="eastAsia" w:ascii="宋体" w:hAnsi="宋体" w:cs="宋体"/>
                <w:sz w:val="22"/>
                <w:szCs w:val="22"/>
                <w:lang w:eastAsia="zh-CN"/>
              </w:rPr>
              <w:t>（</w:t>
            </w:r>
            <w:r>
              <w:rPr>
                <w:rFonts w:hint="eastAsia" w:ascii="宋体" w:hAnsi="宋体" w:cs="宋体"/>
                <w:sz w:val="22"/>
                <w:szCs w:val="22"/>
              </w:rPr>
              <w:t>mm</w:t>
            </w:r>
            <w:r>
              <w:rPr>
                <w:rFonts w:hint="eastAsia" w:ascii="宋体" w:hAnsi="宋体" w:cs="宋体"/>
                <w:sz w:val="22"/>
                <w:szCs w:val="22"/>
                <w:lang w:eastAsia="zh-CN"/>
              </w:rPr>
              <w:t>）</w:t>
            </w:r>
          </w:p>
        </w:tc>
        <w:tc>
          <w:tcPr>
            <w:tcW w:w="968" w:type="dxa"/>
            <w:vMerge w:val="restart"/>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厚度</w:t>
            </w:r>
            <w:r>
              <w:rPr>
                <w:rFonts w:hint="eastAsia" w:ascii="宋体" w:hAnsi="宋体" w:cs="宋体"/>
                <w:sz w:val="22"/>
                <w:szCs w:val="22"/>
                <w:lang w:eastAsia="zh-CN"/>
              </w:rPr>
              <w:t>（</w:t>
            </w:r>
            <w:r>
              <w:rPr>
                <w:rFonts w:hint="eastAsia" w:ascii="宋体" w:hAnsi="宋体" w:cs="宋体"/>
                <w:sz w:val="22"/>
                <w:szCs w:val="22"/>
              </w:rPr>
              <w:t>mm</w:t>
            </w:r>
            <w:r>
              <w:rPr>
                <w:rFonts w:hint="eastAsia" w:ascii="宋体" w:hAnsi="宋体" w:cs="宋体"/>
                <w:sz w:val="22"/>
                <w:szCs w:val="22"/>
                <w:lang w:eastAsia="zh-CN"/>
              </w:rPr>
              <w:t>）</w:t>
            </w:r>
          </w:p>
        </w:tc>
        <w:tc>
          <w:tcPr>
            <w:tcW w:w="4709" w:type="dxa"/>
            <w:gridSpan w:val="3"/>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综合单价（元/吨）</w:t>
            </w:r>
          </w:p>
        </w:tc>
        <w:tc>
          <w:tcPr>
            <w:tcW w:w="1177" w:type="dxa"/>
            <w:vMerge w:val="restart"/>
            <w:noWrap w:val="0"/>
            <w:vAlign w:val="center"/>
          </w:tcPr>
          <w:p>
            <w:pPr>
              <w:spacing w:line="240" w:lineRule="auto"/>
              <w:jc w:val="center"/>
              <w:rPr>
                <w:rFonts w:ascii="宋体" w:hAnsi="宋体" w:cs="宋体"/>
                <w:sz w:val="22"/>
                <w:szCs w:val="22"/>
              </w:rPr>
            </w:pPr>
            <w:r>
              <w:rPr>
                <w:rFonts w:hint="eastAsia" w:ascii="宋体" w:hAnsi="宋体" w:cs="宋体"/>
                <w:sz w:val="22"/>
                <w:szCs w:val="22"/>
              </w:rPr>
              <w:t>钢厂名称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515" w:type="dxa"/>
            <w:vMerge w:val="continue"/>
            <w:noWrap w:val="0"/>
            <w:vAlign w:val="center"/>
          </w:tcPr>
          <w:p>
            <w:pPr>
              <w:spacing w:line="240" w:lineRule="auto"/>
              <w:jc w:val="center"/>
              <w:rPr>
                <w:rFonts w:hint="eastAsia" w:ascii="宋体" w:hAnsi="宋体"/>
                <w:sz w:val="22"/>
                <w:szCs w:val="22"/>
                <w:lang w:val="en-US" w:eastAsia="zh-CN"/>
              </w:rPr>
            </w:pPr>
          </w:p>
        </w:tc>
        <w:tc>
          <w:tcPr>
            <w:tcW w:w="1239" w:type="dxa"/>
            <w:vMerge w:val="continue"/>
            <w:noWrap w:val="0"/>
            <w:vAlign w:val="center"/>
          </w:tcPr>
          <w:p>
            <w:pPr>
              <w:spacing w:line="240" w:lineRule="auto"/>
              <w:jc w:val="center"/>
              <w:rPr>
                <w:rFonts w:hint="eastAsia" w:ascii="宋体" w:hAnsi="宋体"/>
                <w:sz w:val="22"/>
                <w:szCs w:val="22"/>
                <w:lang w:val="en-US" w:eastAsia="zh-CN"/>
              </w:rPr>
            </w:pPr>
          </w:p>
        </w:tc>
        <w:tc>
          <w:tcPr>
            <w:tcW w:w="1241" w:type="dxa"/>
            <w:vMerge w:val="continue"/>
            <w:noWrap w:val="0"/>
            <w:vAlign w:val="center"/>
          </w:tcPr>
          <w:p>
            <w:pPr>
              <w:spacing w:line="240" w:lineRule="auto"/>
              <w:jc w:val="center"/>
              <w:rPr>
                <w:rFonts w:hint="eastAsia" w:ascii="宋体" w:hAnsi="宋体"/>
                <w:sz w:val="22"/>
                <w:szCs w:val="22"/>
                <w:lang w:val="en-US" w:eastAsia="zh-CN"/>
              </w:rPr>
            </w:pPr>
          </w:p>
        </w:tc>
        <w:tc>
          <w:tcPr>
            <w:tcW w:w="968" w:type="dxa"/>
            <w:vMerge w:val="continue"/>
            <w:noWrap w:val="0"/>
            <w:vAlign w:val="center"/>
          </w:tcPr>
          <w:p>
            <w:pPr>
              <w:spacing w:line="240" w:lineRule="auto"/>
              <w:jc w:val="center"/>
              <w:rPr>
                <w:rFonts w:hint="eastAsia" w:ascii="宋体" w:hAnsi="宋体"/>
                <w:sz w:val="22"/>
                <w:szCs w:val="22"/>
                <w:lang w:val="en-US" w:eastAsia="zh-CN"/>
              </w:rPr>
            </w:pPr>
          </w:p>
        </w:tc>
        <w:tc>
          <w:tcPr>
            <w:tcW w:w="1754"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综合不含税单价</w:t>
            </w:r>
          </w:p>
        </w:tc>
        <w:tc>
          <w:tcPr>
            <w:tcW w:w="1620"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税金</w:t>
            </w:r>
          </w:p>
        </w:tc>
        <w:tc>
          <w:tcPr>
            <w:tcW w:w="1335"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综合含税单价</w:t>
            </w:r>
          </w:p>
        </w:tc>
        <w:tc>
          <w:tcPr>
            <w:tcW w:w="1177" w:type="dxa"/>
            <w:vMerge w:val="continue"/>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1239" w:type="dxa"/>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镀锌铁皮</w:t>
            </w:r>
          </w:p>
        </w:tc>
        <w:tc>
          <w:tcPr>
            <w:tcW w:w="1241" w:type="dxa"/>
            <w:noWrap w:val="0"/>
            <w:vAlign w:val="center"/>
          </w:tcPr>
          <w:p>
            <w:pPr>
              <w:spacing w:line="240" w:lineRule="auto"/>
              <w:jc w:val="center"/>
              <w:rPr>
                <w:rFonts w:hint="default" w:ascii="宋体" w:hAnsi="宋体"/>
                <w:sz w:val="22"/>
                <w:szCs w:val="22"/>
                <w:lang w:val="en-US" w:eastAsia="zh-CN"/>
              </w:rPr>
            </w:pPr>
            <w:r>
              <w:rPr>
                <w:rFonts w:hint="eastAsia" w:ascii="宋体" w:hAnsi="宋体" w:cs="宋体"/>
                <w:sz w:val="22"/>
                <w:szCs w:val="22"/>
              </w:rPr>
              <w:t>137</w:t>
            </w:r>
          </w:p>
        </w:tc>
        <w:tc>
          <w:tcPr>
            <w:tcW w:w="96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0.5</w:t>
            </w:r>
          </w:p>
        </w:tc>
        <w:tc>
          <w:tcPr>
            <w:tcW w:w="1754" w:type="dxa"/>
            <w:noWrap w:val="0"/>
            <w:vAlign w:val="center"/>
          </w:tcPr>
          <w:p>
            <w:pPr>
              <w:spacing w:line="240" w:lineRule="auto"/>
              <w:jc w:val="center"/>
              <w:rPr>
                <w:rFonts w:hint="eastAsia" w:ascii="宋体" w:hAnsi="宋体" w:cs="宋体"/>
                <w:sz w:val="22"/>
                <w:szCs w:val="22"/>
              </w:rPr>
            </w:pPr>
          </w:p>
        </w:tc>
        <w:tc>
          <w:tcPr>
            <w:tcW w:w="1620" w:type="dxa"/>
            <w:noWrap w:val="0"/>
            <w:vAlign w:val="center"/>
          </w:tcPr>
          <w:p>
            <w:pPr>
              <w:spacing w:line="240" w:lineRule="auto"/>
              <w:jc w:val="center"/>
              <w:rPr>
                <w:rFonts w:hint="eastAsia" w:ascii="宋体" w:hAnsi="宋体" w:cs="宋体"/>
                <w:sz w:val="22"/>
                <w:szCs w:val="22"/>
              </w:rPr>
            </w:pPr>
          </w:p>
        </w:tc>
        <w:tc>
          <w:tcPr>
            <w:tcW w:w="1335" w:type="dxa"/>
            <w:noWrap w:val="0"/>
            <w:vAlign w:val="center"/>
          </w:tcPr>
          <w:p>
            <w:pPr>
              <w:spacing w:line="240" w:lineRule="auto"/>
              <w:jc w:val="center"/>
              <w:rPr>
                <w:rFonts w:hint="eastAsia" w:ascii="宋体" w:hAnsi="宋体" w:cs="宋体"/>
                <w:sz w:val="22"/>
                <w:szCs w:val="22"/>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15"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1239"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镀锌铁皮</w:t>
            </w:r>
          </w:p>
        </w:tc>
        <w:tc>
          <w:tcPr>
            <w:tcW w:w="1241" w:type="dxa"/>
            <w:noWrap w:val="0"/>
            <w:vAlign w:val="center"/>
          </w:tcPr>
          <w:p>
            <w:pPr>
              <w:spacing w:line="240" w:lineRule="auto"/>
              <w:jc w:val="center"/>
              <w:rPr>
                <w:rFonts w:hint="eastAsia" w:ascii="宋体" w:hAnsi="宋体"/>
                <w:sz w:val="22"/>
                <w:szCs w:val="22"/>
                <w:lang w:val="en-US" w:eastAsia="zh-CN"/>
              </w:rPr>
            </w:pPr>
            <w:r>
              <w:rPr>
                <w:rFonts w:hint="eastAsia" w:ascii="宋体" w:hAnsi="宋体" w:cs="宋体"/>
                <w:sz w:val="22"/>
                <w:szCs w:val="22"/>
              </w:rPr>
              <w:t>137</w:t>
            </w:r>
          </w:p>
        </w:tc>
        <w:tc>
          <w:tcPr>
            <w:tcW w:w="968" w:type="dxa"/>
            <w:noWrap w:val="0"/>
            <w:vAlign w:val="center"/>
          </w:tcPr>
          <w:p>
            <w:pPr>
              <w:widowControl/>
              <w:spacing w:line="240" w:lineRule="auto"/>
              <w:ind w:left="25" w:leftChars="0" w:right="6" w:rightChars="0"/>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0.6</w:t>
            </w:r>
          </w:p>
        </w:tc>
        <w:tc>
          <w:tcPr>
            <w:tcW w:w="1754" w:type="dxa"/>
            <w:noWrap w:val="0"/>
            <w:vAlign w:val="center"/>
          </w:tcPr>
          <w:p>
            <w:pPr>
              <w:pStyle w:val="50"/>
              <w:spacing w:line="240" w:lineRule="auto"/>
              <w:ind w:left="25" w:leftChars="0" w:right="6" w:rightChars="0"/>
              <w:jc w:val="center"/>
              <w:rPr>
                <w:rFonts w:hint="eastAsia" w:ascii="宋体" w:hAnsi="宋体" w:cs="宋体"/>
                <w:kern w:val="0"/>
                <w:sz w:val="22"/>
                <w:szCs w:val="22"/>
                <w:lang w:val="en-US" w:eastAsia="zh-CN" w:bidi="ar-SA"/>
              </w:rPr>
            </w:pPr>
          </w:p>
        </w:tc>
        <w:tc>
          <w:tcPr>
            <w:tcW w:w="1620" w:type="dxa"/>
            <w:noWrap w:val="0"/>
            <w:vAlign w:val="center"/>
          </w:tcPr>
          <w:p>
            <w:pPr>
              <w:pStyle w:val="50"/>
              <w:spacing w:line="240" w:lineRule="auto"/>
              <w:ind w:left="81" w:leftChars="0"/>
              <w:jc w:val="center"/>
              <w:rPr>
                <w:rFonts w:hint="eastAsia" w:ascii="宋体" w:hAnsi="宋体" w:cs="宋体"/>
                <w:kern w:val="0"/>
                <w:sz w:val="22"/>
                <w:szCs w:val="22"/>
                <w:lang w:val="en-US" w:eastAsia="zh-CN" w:bidi="ar-SA"/>
              </w:rPr>
            </w:pPr>
          </w:p>
        </w:tc>
        <w:tc>
          <w:tcPr>
            <w:tcW w:w="1335" w:type="dxa"/>
            <w:noWrap w:val="0"/>
            <w:vAlign w:val="center"/>
          </w:tcPr>
          <w:p>
            <w:pPr>
              <w:pStyle w:val="50"/>
              <w:spacing w:before="53" w:line="240" w:lineRule="auto"/>
              <w:ind w:left="64" w:leftChars="0" w:right="62" w:rightChars="0"/>
              <w:jc w:val="center"/>
              <w:rPr>
                <w:rFonts w:hint="eastAsia" w:ascii="宋体" w:hAnsi="宋体" w:cs="宋体"/>
                <w:kern w:val="0"/>
                <w:sz w:val="22"/>
                <w:szCs w:val="22"/>
                <w:lang w:val="en-US" w:eastAsia="zh-CN" w:bidi="ar-SA"/>
              </w:rPr>
            </w:pPr>
          </w:p>
        </w:tc>
        <w:tc>
          <w:tcPr>
            <w:tcW w:w="1177" w:type="dxa"/>
            <w:noWrap w:val="0"/>
            <w:vAlign w:val="center"/>
          </w:tcPr>
          <w:p>
            <w:pPr>
              <w:spacing w:line="24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963" w:type="dxa"/>
            <w:gridSpan w:val="4"/>
            <w:noWrap w:val="0"/>
            <w:vAlign w:val="center"/>
          </w:tcPr>
          <w:p>
            <w:pPr>
              <w:widowControl/>
              <w:spacing w:line="24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b/>
                <w:bCs/>
                <w:color w:val="000000"/>
                <w:kern w:val="0"/>
                <w:sz w:val="22"/>
                <w:szCs w:val="22"/>
                <w:lang w:val="en-US" w:eastAsia="zh-CN" w:bidi="ar"/>
              </w:rPr>
              <w:t>平均价</w:t>
            </w:r>
          </w:p>
        </w:tc>
        <w:tc>
          <w:tcPr>
            <w:tcW w:w="1754" w:type="dxa"/>
            <w:noWrap w:val="0"/>
            <w:vAlign w:val="center"/>
          </w:tcPr>
          <w:p>
            <w:pPr>
              <w:widowControl/>
              <w:spacing w:line="240" w:lineRule="auto"/>
              <w:jc w:val="center"/>
              <w:textAlignment w:val="center"/>
              <w:rPr>
                <w:rFonts w:hint="default" w:ascii="宋体" w:hAnsi="宋体"/>
                <w:kern w:val="2"/>
                <w:sz w:val="22"/>
                <w:szCs w:val="22"/>
                <w:lang w:val="en-US" w:eastAsia="zh-CN" w:bidi="ar-SA"/>
              </w:rPr>
            </w:pPr>
            <w:r>
              <w:rPr>
                <w:rFonts w:hint="eastAsia" w:ascii="宋体" w:hAnsi="宋体"/>
                <w:kern w:val="2"/>
                <w:sz w:val="22"/>
                <w:szCs w:val="22"/>
                <w:lang w:val="en-US" w:eastAsia="zh-CN" w:bidi="ar-SA"/>
              </w:rPr>
              <w:t>/</w:t>
            </w:r>
          </w:p>
        </w:tc>
        <w:tc>
          <w:tcPr>
            <w:tcW w:w="1620" w:type="dxa"/>
            <w:noWrap w:val="0"/>
            <w:vAlign w:val="center"/>
          </w:tcPr>
          <w:p>
            <w:pPr>
              <w:widowControl/>
              <w:spacing w:line="240" w:lineRule="auto"/>
              <w:jc w:val="center"/>
              <w:textAlignment w:val="center"/>
              <w:rPr>
                <w:rFonts w:hint="default" w:ascii="宋体" w:hAnsi="宋体"/>
                <w:kern w:val="2"/>
                <w:sz w:val="22"/>
                <w:szCs w:val="22"/>
                <w:lang w:val="en-US" w:eastAsia="zh-CN" w:bidi="ar-SA"/>
              </w:rPr>
            </w:pPr>
            <w:r>
              <w:rPr>
                <w:rFonts w:hint="eastAsia" w:ascii="宋体" w:hAnsi="宋体"/>
                <w:kern w:val="2"/>
                <w:sz w:val="22"/>
                <w:szCs w:val="22"/>
                <w:lang w:val="en-US" w:eastAsia="zh-CN" w:bidi="ar-SA"/>
              </w:rPr>
              <w:t>/</w:t>
            </w:r>
          </w:p>
        </w:tc>
        <w:tc>
          <w:tcPr>
            <w:tcW w:w="1335" w:type="dxa"/>
            <w:noWrap w:val="0"/>
            <w:vAlign w:val="center"/>
          </w:tcPr>
          <w:p>
            <w:pPr>
              <w:widowControl/>
              <w:spacing w:line="240" w:lineRule="auto"/>
              <w:jc w:val="center"/>
              <w:textAlignment w:val="center"/>
              <w:rPr>
                <w:rFonts w:hint="eastAsia" w:ascii="宋体" w:hAnsi="宋体"/>
                <w:kern w:val="2"/>
                <w:sz w:val="22"/>
                <w:szCs w:val="22"/>
                <w:lang w:val="en-US" w:eastAsia="zh-CN" w:bidi="ar-SA"/>
              </w:rPr>
            </w:pPr>
          </w:p>
        </w:tc>
        <w:tc>
          <w:tcPr>
            <w:tcW w:w="1177" w:type="dxa"/>
            <w:noWrap w:val="0"/>
            <w:vAlign w:val="center"/>
          </w:tcPr>
          <w:p>
            <w:pPr>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w:t>
            </w:r>
          </w:p>
        </w:tc>
      </w:tr>
    </w:tbl>
    <w:p>
      <w:pPr>
        <w:rPr>
          <w:color w:val="auto"/>
        </w:rPr>
      </w:pPr>
    </w:p>
    <w:p>
      <w:pPr>
        <w:pStyle w:val="23"/>
        <w:spacing w:line="360" w:lineRule="auto"/>
        <w:rPr>
          <w:rFonts w:hint="eastAsia"/>
          <w:color w:val="auto"/>
          <w:lang w:val="en-US" w:eastAsia="zh-CN"/>
        </w:rPr>
      </w:pPr>
      <w:r>
        <w:rPr>
          <w:rFonts w:hint="eastAsia"/>
          <w:color w:val="auto"/>
          <w:lang w:val="en-US" w:eastAsia="zh-CN"/>
        </w:rPr>
        <w:t>备注：1.供应商对上述可以供货的型号进行报价，不能生产的填写“/”</w:t>
      </w:r>
    </w:p>
    <w:p>
      <w:pPr>
        <w:pStyle w:val="24"/>
        <w:spacing w:line="360" w:lineRule="auto"/>
        <w:ind w:firstLine="603" w:firstLineChars="300"/>
        <w:rPr>
          <w:rFonts w:hint="eastAsia"/>
          <w:b/>
          <w:bCs/>
          <w:sz w:val="21"/>
          <w:szCs w:val="21"/>
          <w:lang w:val="en-US" w:eastAsia="zh-CN"/>
        </w:rPr>
      </w:pPr>
      <w:r>
        <w:rPr>
          <w:rFonts w:hint="eastAsia"/>
          <w:b/>
          <w:bCs/>
          <w:sz w:val="21"/>
          <w:szCs w:val="21"/>
          <w:lang w:val="en-US" w:eastAsia="zh-CN"/>
        </w:rPr>
        <w:t>2.此次报价的综合含税单价为实时的价格，为</w:t>
      </w:r>
      <w:r>
        <w:rPr>
          <w:rFonts w:hint="eastAsia" w:asciiTheme="minorEastAsia" w:hAnsiTheme="minorEastAsia" w:eastAsiaTheme="minorEastAsia" w:cstheme="minorEastAsia"/>
          <w:b/>
          <w:bCs/>
          <w:sz w:val="21"/>
          <w:szCs w:val="21"/>
        </w:rPr>
        <w:t>完成本项目所需的</w:t>
      </w:r>
      <w:r>
        <w:rPr>
          <w:rFonts w:hint="eastAsia" w:asciiTheme="minorEastAsia" w:hAnsiTheme="minorEastAsia" w:eastAsiaTheme="minorEastAsia" w:cstheme="minorEastAsia"/>
          <w:b/>
          <w:bCs/>
          <w:sz w:val="21"/>
          <w:szCs w:val="21"/>
          <w:lang w:val="en-US" w:eastAsia="zh-CN"/>
        </w:rPr>
        <w:t>出厂价、包装费、运输费、</w:t>
      </w:r>
      <w:r>
        <w:rPr>
          <w:rFonts w:hint="eastAsia" w:asciiTheme="minorEastAsia" w:hAnsiTheme="minorEastAsia" w:eastAsiaTheme="minorEastAsia" w:cstheme="minorEastAsia"/>
          <w:b/>
          <w:bCs/>
          <w:sz w:val="21"/>
          <w:szCs w:val="21"/>
        </w:rPr>
        <w:t>税金等所有费用</w:t>
      </w:r>
      <w:r>
        <w:rPr>
          <w:rFonts w:hint="eastAsia" w:asciiTheme="minorEastAsia" w:hAnsiTheme="minorEastAsia" w:eastAsiaTheme="minorEastAsia" w:cstheme="minorEastAsia"/>
          <w:b/>
          <w:bCs/>
          <w:sz w:val="21"/>
          <w:szCs w:val="21"/>
          <w:lang w:eastAsia="zh-CN"/>
        </w:rPr>
        <w:t>，</w:t>
      </w:r>
      <w:r>
        <w:rPr>
          <w:rFonts w:hint="eastAsia"/>
          <w:b/>
          <w:bCs/>
          <w:sz w:val="21"/>
          <w:szCs w:val="21"/>
          <w:lang w:val="en-US" w:eastAsia="zh-CN"/>
        </w:rPr>
        <w:t>入围后具体采买时二次报价。</w:t>
      </w:r>
    </w:p>
    <w:p>
      <w:pPr>
        <w:spacing w:line="360" w:lineRule="auto"/>
        <w:rPr>
          <w:rFonts w:hint="default"/>
          <w:b/>
          <w:bCs/>
          <w:lang w:val="en-US" w:eastAsia="zh-CN"/>
        </w:rPr>
      </w:pPr>
      <w:r>
        <w:rPr>
          <w:rFonts w:hint="eastAsia"/>
          <w:b/>
          <w:bCs/>
          <w:lang w:val="en-US" w:eastAsia="zh-CN"/>
        </w:rPr>
        <w:t xml:space="preserve">      3.投标价格明显低于市场价格，在后期的询价过程中，涨跌幅度超过市场幅度的，已入围的取消其入围资格。</w:t>
      </w:r>
    </w:p>
    <w:p>
      <w:pPr>
        <w:spacing w:line="500" w:lineRule="exact"/>
        <w:jc w:val="right"/>
        <w:rPr>
          <w:rFonts w:hint="eastAsia"/>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23"/>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144974875"/>
      <w:bookmarkStart w:id="9" w:name="_Toc152045807"/>
      <w:bookmarkStart w:id="10" w:name="_Toc247527847"/>
      <w:bookmarkStart w:id="11" w:name="_Toc152042596"/>
      <w:bookmarkStart w:id="12" w:name="_Toc247514299"/>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企业简介</w:t>
      </w:r>
    </w:p>
    <w:p>
      <w:pPr>
        <w:spacing w:before="156" w:beforeLines="50"/>
        <w:ind w:firstLine="402" w:firstLineChars="20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7"/>
        <w:tblW w:w="11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50"/>
        <w:gridCol w:w="2491"/>
        <w:gridCol w:w="2000"/>
        <w:gridCol w:w="199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2"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5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2491"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00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99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合同金额</w:t>
            </w:r>
          </w:p>
        </w:tc>
        <w:tc>
          <w:tcPr>
            <w:tcW w:w="1998"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5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firstLine="1206" w:firstLineChars="600"/>
        <w:rPr>
          <w:rFonts w:hint="eastAsia" w:eastAsia="宋体"/>
          <w:sz w:val="24"/>
          <w:lang w:val="en-US" w:eastAsia="zh-CN"/>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中标通知书、销售发票</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val="en-US" w:eastAsia="zh-CN"/>
          <w14:textFill>
            <w14:solidFill>
              <w14:schemeClr w14:val="tx1"/>
            </w14:solidFill>
          </w14:textFill>
        </w:rPr>
        <w:t>扫描件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5"/>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商务和技术</w:t>
      </w:r>
      <w:r>
        <w:rPr>
          <w:rFonts w:hint="eastAsia" w:ascii="宋体" w:hAnsi="宋体"/>
          <w:kern w:val="0"/>
          <w:sz w:val="24"/>
          <w:szCs w:val="24"/>
          <w:shd w:val="clear" w:color="auto" w:fill="FFFFFF"/>
        </w:rPr>
        <w:t>偏差表；</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2085"/>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0"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220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比选文件要求</w:t>
            </w:r>
          </w:p>
        </w:tc>
        <w:tc>
          <w:tcPr>
            <w:tcW w:w="208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投标人响应</w:t>
            </w:r>
          </w:p>
        </w:tc>
        <w:tc>
          <w:tcPr>
            <w:tcW w:w="39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bl>
    <w:p>
      <w:pPr>
        <w:pStyle w:val="8"/>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w:t>
      </w:r>
      <w:r>
        <w:rPr>
          <w:rFonts w:hint="eastAsia" w:hAnsi="宋体"/>
          <w:kern w:val="0"/>
          <w:sz w:val="24"/>
          <w:szCs w:val="24"/>
          <w:shd w:val="clear" w:color="auto" w:fill="FFFFFF"/>
          <w:lang w:val="en-US" w:eastAsia="zh-CN"/>
        </w:rPr>
        <w:t>1</w:t>
      </w:r>
      <w:r>
        <w:rPr>
          <w:rFonts w:hint="eastAsia" w:hAnsi="宋体"/>
          <w:kern w:val="0"/>
          <w:sz w:val="24"/>
          <w:szCs w:val="24"/>
          <w:shd w:val="clear" w:color="auto" w:fill="FFFFFF"/>
        </w:rPr>
        <w:t>、比选申请</w:t>
      </w:r>
      <w:r>
        <w:rPr>
          <w:rFonts w:hAnsi="宋体"/>
          <w:kern w:val="0"/>
          <w:sz w:val="24"/>
          <w:szCs w:val="24"/>
          <w:shd w:val="clear" w:color="auto" w:fill="FFFFFF"/>
        </w:rPr>
        <w:t>人保证：除偏差表列出的偏差外，响应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8"/>
        <w:spacing w:line="500" w:lineRule="exact"/>
        <w:ind w:left="210" w:leftChars="100" w:firstLine="785" w:firstLineChars="326"/>
        <w:rPr>
          <w:rFonts w:hint="default" w:hAnsi="宋体" w:eastAsia="宋体"/>
          <w:b/>
          <w:bCs/>
          <w:kern w:val="0"/>
          <w:sz w:val="24"/>
          <w:szCs w:val="24"/>
          <w:shd w:val="clear" w:color="auto" w:fill="FFFFFF"/>
          <w:lang w:val="en-US" w:eastAsia="zh-CN"/>
        </w:rPr>
      </w:pPr>
      <w:r>
        <w:rPr>
          <w:rFonts w:hint="eastAsia" w:hAnsi="宋体"/>
          <w:b/>
          <w:bCs/>
          <w:kern w:val="0"/>
          <w:sz w:val="24"/>
          <w:szCs w:val="24"/>
          <w:shd w:val="clear" w:color="auto" w:fill="FFFFFF"/>
          <w:lang w:val="en-US" w:eastAsia="zh-CN"/>
        </w:rPr>
        <w:t>2</w:t>
      </w:r>
      <w:r>
        <w:rPr>
          <w:rFonts w:hint="eastAsia" w:hAnsi="宋体"/>
          <w:b/>
          <w:bCs/>
          <w:kern w:val="0"/>
          <w:sz w:val="24"/>
          <w:szCs w:val="24"/>
          <w:shd w:val="clear" w:color="auto" w:fill="FFFFFF"/>
        </w:rPr>
        <w:t>、偏差说明填写：“正偏差、无偏差、负偏差”中的一种。</w:t>
      </w:r>
      <w:r>
        <w:rPr>
          <w:rFonts w:hint="eastAsia" w:hAnsi="宋体"/>
          <w:b/>
          <w:bCs/>
          <w:kern w:val="0"/>
          <w:sz w:val="24"/>
          <w:szCs w:val="24"/>
          <w:shd w:val="clear" w:color="auto" w:fill="FFFFFF"/>
          <w:lang w:val="en-US" w:eastAsia="zh-CN"/>
        </w:rPr>
        <w:t>有偏差的应具体写出偏差内容。</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二、所投</w:t>
      </w:r>
      <w:r>
        <w:rPr>
          <w:rFonts w:hint="eastAsia" w:ascii="宋体" w:hAnsi="宋体"/>
          <w:kern w:val="0"/>
          <w:sz w:val="24"/>
          <w:szCs w:val="24"/>
          <w:shd w:val="clear" w:color="auto" w:fill="FFFFFF"/>
          <w:lang w:val="en-US" w:eastAsia="zh-CN"/>
        </w:rPr>
        <w:t>产品性能；（包含不限于产品介绍、技术参数、产品图片等）</w:t>
      </w:r>
    </w:p>
    <w:p>
      <w:pPr>
        <w:spacing w:line="360" w:lineRule="auto"/>
        <w:ind w:firstLine="480" w:firstLineChars="200"/>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产品质量</w:t>
      </w:r>
      <w:r>
        <w:rPr>
          <w:rFonts w:hint="eastAsia" w:ascii="宋体" w:hAnsi="宋体"/>
          <w:kern w:val="0"/>
          <w:sz w:val="24"/>
          <w:szCs w:val="24"/>
          <w:shd w:val="clear" w:color="auto" w:fill="FFFFFF"/>
          <w:lang w:val="en-US" w:eastAsia="zh-CN"/>
        </w:rPr>
        <w:t>及质量保证措施；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四</w:t>
      </w:r>
      <w:r>
        <w:rPr>
          <w:rFonts w:hint="eastAsia" w:ascii="宋体" w:hAnsi="宋体"/>
          <w:kern w:val="0"/>
          <w:sz w:val="24"/>
          <w:szCs w:val="24"/>
          <w:shd w:val="clear" w:color="auto" w:fill="FFFFFF"/>
        </w:rPr>
        <w:t>、供货进度计划及保障措施；</w:t>
      </w: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五、售后服务。</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本次评标采用综合评估法。评标委员会首先进行资格审查、符合性评审，对满</w:t>
      </w:r>
      <w:r>
        <w:rPr>
          <w:rFonts w:hint="eastAsia" w:ascii="宋体" w:hAnsi="宋体" w:cs="宋体"/>
          <w:sz w:val="24"/>
          <w:szCs w:val="24"/>
          <w:lang w:val="en-US" w:eastAsia="zh-CN"/>
        </w:rPr>
        <w:t>比选</w:t>
      </w:r>
      <w:r>
        <w:rPr>
          <w:rFonts w:hint="eastAsia" w:ascii="宋体" w:hAnsi="宋体" w:cs="宋体"/>
          <w:sz w:val="24"/>
          <w:szCs w:val="24"/>
        </w:rPr>
        <w:t>文件实质性要求的投标文件，按照本章规定的评分细则进行打分，并按照得分由高到低的顺序进行排序。</w:t>
      </w:r>
    </w:p>
    <w:p>
      <w:pPr>
        <w:numPr>
          <w:ilvl w:val="0"/>
          <w:numId w:val="6"/>
        </w:numPr>
        <w:spacing w:line="500" w:lineRule="exact"/>
        <w:ind w:firstLine="480" w:firstLineChars="200"/>
        <w:rPr>
          <w:rFonts w:hint="eastAsia" w:ascii="宋体" w:hAnsi="宋体" w:cs="宋体"/>
          <w:sz w:val="24"/>
          <w:lang w:eastAsia="zh-CN"/>
        </w:rPr>
      </w:pPr>
      <w:r>
        <w:rPr>
          <w:rFonts w:hint="eastAsia" w:ascii="宋体" w:hAnsi="宋体" w:cs="宋体"/>
          <w:sz w:val="24"/>
        </w:rPr>
        <w:t>投标文件经评标委员会综合评审后按得分由高到低排序</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ascii="宋体" w:hAnsi="宋体" w:cs="宋体"/>
          <w:sz w:val="24"/>
        </w:rPr>
        <w:t>综合得分排名前5名且需满足综合得分70分及以上的投标人入围年度合作供应商，当有效投标人数量少于等于5家时，有效的供应商满足综合得分70分以上的全部入围</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sz w:val="24"/>
          <w:szCs w:val="24"/>
        </w:rPr>
        <w:t>招标人按照评标委员会推荐的候选单位顺序依次确定入围单位。排名靠前的单位因自身原因放弃入围资格的，招标人可以确定排位在入围单位名单之后第一位为候补入围单位，以此类推；也可重新招标。</w:t>
      </w:r>
    </w:p>
    <w:p>
      <w:pPr>
        <w:numPr>
          <w:ilvl w:val="0"/>
          <w:numId w:val="6"/>
        </w:numPr>
        <w:spacing w:line="500" w:lineRule="exact"/>
        <w:ind w:firstLine="480" w:firstLineChars="200"/>
        <w:rPr>
          <w:sz w:val="24"/>
          <w:szCs w:val="24"/>
        </w:rPr>
      </w:pPr>
      <w:r>
        <w:rPr>
          <w:rFonts w:hint="eastAsia"/>
          <w:sz w:val="24"/>
          <w:szCs w:val="24"/>
        </w:rPr>
        <w:t>确定合作供应商后，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rPr>
          <w:sz w:val="24"/>
          <w:szCs w:val="24"/>
        </w:rPr>
      </w:pPr>
      <w:r>
        <w:rPr>
          <w:sz w:val="24"/>
          <w:szCs w:val="24"/>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附表1</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资格审查</w:t>
      </w:r>
      <w:r>
        <w:rPr>
          <w:rFonts w:hint="eastAsia" w:asciiTheme="minorEastAsia" w:hAnsiTheme="minorEastAsia" w:eastAsiaTheme="minorEastAsia" w:cstheme="minorEastAsia"/>
          <w:b/>
          <w:sz w:val="40"/>
          <w:szCs w:val="40"/>
        </w:rPr>
        <w:t>表</w:t>
      </w:r>
    </w:p>
    <w:tbl>
      <w:tblPr>
        <w:tblStyle w:val="17"/>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审查条件</w:t>
            </w:r>
          </w:p>
        </w:tc>
        <w:tc>
          <w:tcPr>
            <w:tcW w:w="204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是否合格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营业执照</w:t>
            </w:r>
          </w:p>
        </w:tc>
        <w:tc>
          <w:tcPr>
            <w:tcW w:w="4327"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 xml:space="preserve">投标文件中附营业执照（副本）复印件 </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2</w:t>
            </w:r>
          </w:p>
        </w:tc>
        <w:tc>
          <w:tcPr>
            <w:tcW w:w="2269" w:type="dxa"/>
            <w:tcBorders>
              <w:left w:val="single" w:color="auto" w:sz="4" w:space="0"/>
            </w:tcBorders>
            <w:noWrap w:val="0"/>
            <w:vAlign w:val="center"/>
          </w:tcPr>
          <w:p>
            <w:pP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投标文件中附</w:t>
            </w:r>
            <w:r>
              <w:rPr>
                <w:rFonts w:hint="eastAsia" w:ascii="宋体" w:hAnsi="宋体" w:cs="宋体"/>
                <w:bCs/>
              </w:rPr>
              <w:t>投标人法定代表人若亲自签署投标文件的，需提供法定代表人身份证明原件；</w:t>
            </w:r>
            <w:r>
              <w:rPr>
                <w:rFonts w:hint="eastAsia" w:ascii="宋体" w:hAnsi="宋体" w:cs="宋体"/>
                <w:szCs w:val="21"/>
              </w:rPr>
              <w:t>投标人法定代表人的授权代理人</w:t>
            </w:r>
            <w:r>
              <w:rPr>
                <w:rFonts w:hint="eastAsia" w:ascii="宋体" w:hAnsi="宋体" w:cs="宋体"/>
                <w:bCs/>
              </w:rPr>
              <w:t>签署投标文件的</w:t>
            </w:r>
            <w:r>
              <w:rPr>
                <w:rFonts w:hint="eastAsia" w:ascii="宋体" w:hAnsi="宋体" w:cs="宋体"/>
                <w:szCs w:val="21"/>
              </w:rPr>
              <w:t>，需提交附有法定代表人身份证明的授权委托书原件</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3</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shd w:val="clear" w:color="auto" w:fill="FFFFFF"/>
              </w:rPr>
              <w:t>投标人在评标工作结束前未被列入失信被执行人名单（以“信用中国”网站或各级信用信息共享平台查询记录为准）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eastAsia="宋体" w:cs="宋体"/>
                <w:b/>
                <w:szCs w:val="21"/>
                <w:lang w:eastAsia="zh-CN"/>
              </w:rPr>
            </w:pPr>
            <w:r>
              <w:rPr>
                <w:rFonts w:hint="eastAsia" w:ascii="宋体" w:hAnsi="宋体" w:cs="宋体"/>
                <w:b/>
                <w:szCs w:val="21"/>
                <w:lang w:val="en-US" w:eastAsia="zh-CN"/>
              </w:rPr>
              <w:t>4</w:t>
            </w:r>
          </w:p>
        </w:tc>
        <w:tc>
          <w:tcPr>
            <w:tcW w:w="2269" w:type="dxa"/>
            <w:tcBorders>
              <w:left w:val="single" w:color="auto" w:sz="4" w:space="0"/>
            </w:tcBorders>
            <w:noWrap w:val="0"/>
            <w:vAlign w:val="center"/>
          </w:tcPr>
          <w:p>
            <w:pPr>
              <w:spacing w:line="276" w:lineRule="auto"/>
              <w:jc w:val="center"/>
              <w:rPr>
                <w:rFonts w:hint="eastAsia" w:hAnsi="宋体" w:cs="宋体"/>
                <w:szCs w:val="21"/>
              </w:rPr>
            </w:pPr>
            <w:r>
              <w:rPr>
                <w:rFonts w:hint="eastAsia" w:hAnsi="宋体" w:cs="宋体"/>
                <w:szCs w:val="21"/>
              </w:rPr>
              <w:t>业绩</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cs="宋体"/>
                <w:szCs w:val="21"/>
                <w:shd w:val="clear" w:color="auto" w:fill="FFFFFF"/>
              </w:rPr>
            </w:pPr>
            <w:r>
              <w:rPr>
                <w:rFonts w:hint="eastAsia" w:ascii="宋体" w:hAnsi="宋体" w:cs="宋体"/>
                <w:szCs w:val="21"/>
                <w:shd w:val="clear" w:color="auto" w:fill="FFFFFF"/>
              </w:rPr>
              <w:t>近三年（2021年至2023年）至少3项单项合同金额在</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0万元以上的镀锌铁皮供货业绩（须提供合同或中标通知书或采购订单、发票等）。</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bl>
    <w:p>
      <w:pPr>
        <w:spacing w:line="440" w:lineRule="exact"/>
        <w:jc w:val="center"/>
        <w:rPr>
          <w:rFonts w:hint="eastAsia" w:asciiTheme="minorEastAsia" w:hAnsiTheme="minorEastAsia" w:eastAsiaTheme="minorEastAsia" w:cstheme="minorEastAsia"/>
          <w:b/>
          <w:sz w:val="32"/>
          <w:szCs w:val="32"/>
        </w:rPr>
      </w:pPr>
    </w:p>
    <w:p>
      <w:pPr>
        <w:autoSpaceDE w:val="0"/>
        <w:autoSpaceDN w:val="0"/>
        <w:spacing w:line="360" w:lineRule="auto"/>
        <w:rPr>
          <w:rFonts w:hint="eastAsia" w:ascii="宋体" w:hAnsi="宋体" w:cs="宋体"/>
          <w:sz w:val="24"/>
          <w:szCs w:val="24"/>
        </w:rPr>
      </w:pPr>
      <w:r>
        <w:rPr>
          <w:rFonts w:hint="eastAsia" w:ascii="宋体" w:hAnsi="宋体" w:cs="宋体"/>
          <w:sz w:val="24"/>
          <w:szCs w:val="24"/>
        </w:rPr>
        <w:t>注：</w:t>
      </w:r>
    </w:p>
    <w:p>
      <w:pPr>
        <w:spacing w:line="360" w:lineRule="auto"/>
        <w:ind w:right="365" w:rightChars="174"/>
        <w:rPr>
          <w:rFonts w:hint="eastAsia" w:ascii="宋体" w:hAnsi="宋体" w:cs="宋体"/>
          <w:szCs w:val="21"/>
        </w:rPr>
      </w:pPr>
      <w:r>
        <w:rPr>
          <w:rFonts w:hint="eastAsia" w:ascii="宋体" w:hAnsi="宋体" w:cs="宋体"/>
          <w:szCs w:val="21"/>
        </w:rPr>
        <w:t>1、本次资格审查为资格后审方式，审查条件要求的各项证明材料须清晰可辨，提供虚假资料或资料模糊不清的，资格审查不通过。</w:t>
      </w:r>
    </w:p>
    <w:p>
      <w:pPr>
        <w:rPr>
          <w:rFonts w:hint="eastAsia" w:asciiTheme="minorEastAsia" w:hAnsiTheme="minorEastAsia" w:eastAsiaTheme="minorEastAsia" w:cstheme="minorEastAsia"/>
          <w:b/>
          <w:sz w:val="32"/>
          <w:szCs w:val="32"/>
        </w:rPr>
      </w:pPr>
      <w:r>
        <w:rPr>
          <w:rFonts w:hint="eastAsia" w:ascii="宋体" w:hAnsi="宋体" w:cs="宋体"/>
          <w:szCs w:val="21"/>
        </w:rPr>
        <w:t>2、合格的打√、不合格的打×、结论为：通过或不通过，不合格的需写明原因。</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附表2</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符合性评审表</w:t>
      </w:r>
    </w:p>
    <w:p>
      <w:pPr>
        <w:spacing w:line="440" w:lineRule="exact"/>
        <w:jc w:val="center"/>
        <w:rPr>
          <w:rFonts w:hint="eastAsia" w:asciiTheme="minorEastAsia" w:hAnsiTheme="minorEastAsia" w:eastAsiaTheme="minorEastAsia" w:cstheme="minorEastAsia"/>
          <w:b/>
          <w:sz w:val="32"/>
          <w:szCs w:val="32"/>
        </w:rPr>
      </w:pPr>
    </w:p>
    <w:tbl>
      <w:tblPr>
        <w:tblStyle w:val="17"/>
        <w:tblW w:w="9390"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3696"/>
        <w:gridCol w:w="1291"/>
        <w:gridCol w:w="1292"/>
        <w:gridCol w:w="1291"/>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52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96" w:type="dxa"/>
            <w:tcBorders>
              <w:tl2br w:val="single" w:color="auto" w:sz="12" w:space="0"/>
            </w:tcBorders>
            <w:noWrap w:val="0"/>
            <w:vAlign w:val="top"/>
          </w:tcPr>
          <w:p>
            <w:pPr>
              <w:spacing w:line="360" w:lineRule="auto"/>
              <w:ind w:firstLine="1680" w:firstLineChars="800"/>
              <w:rPr>
                <w:rFonts w:hint="eastAsia" w:ascii="宋体" w:hAnsi="宋体" w:cs="宋体"/>
                <w:szCs w:val="21"/>
              </w:rPr>
            </w:pPr>
            <w:r>
              <w:rPr>
                <w:rFonts w:hint="eastAsia" w:ascii="宋体" w:hAnsi="宋体" w:cs="宋体"/>
                <w:szCs w:val="21"/>
              </w:rPr>
              <w:t>投标单位</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内容与标准</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投标单位1</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投标单位2</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投标单位3</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3696" w:type="dxa"/>
            <w:noWrap w:val="0"/>
            <w:vAlign w:val="center"/>
          </w:tcPr>
          <w:p>
            <w:pPr>
              <w:rPr>
                <w:rFonts w:hint="eastAsia" w:ascii="宋体" w:hAnsi="宋体" w:cs="宋体"/>
                <w:szCs w:val="21"/>
              </w:rPr>
            </w:pPr>
            <w:r>
              <w:rPr>
                <w:rFonts w:hint="eastAsia" w:ascii="宋体" w:hAnsi="宋体" w:cs="宋体"/>
                <w:szCs w:val="21"/>
              </w:rPr>
              <w:t>在招标文件指定位置处签字、盖章</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3696" w:type="dxa"/>
            <w:noWrap w:val="0"/>
            <w:vAlign w:val="center"/>
          </w:tcPr>
          <w:p>
            <w:pPr>
              <w:rPr>
                <w:rFonts w:hint="eastAsia" w:ascii="宋体" w:hAnsi="宋体" w:cs="宋体"/>
                <w:szCs w:val="21"/>
              </w:rPr>
            </w:pPr>
            <w:r>
              <w:rPr>
                <w:rFonts w:hint="eastAsia" w:ascii="宋体" w:hAnsi="宋体" w:cs="宋体"/>
                <w:szCs w:val="21"/>
              </w:rPr>
              <w:t>按照招标文件规定的格式、内容填写，字迹清晰可辨；手改写有印签。</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3</w:t>
            </w:r>
          </w:p>
        </w:tc>
        <w:tc>
          <w:tcPr>
            <w:tcW w:w="3696" w:type="dxa"/>
            <w:noWrap w:val="0"/>
            <w:vAlign w:val="center"/>
          </w:tcPr>
          <w:p>
            <w:pPr>
              <w:spacing w:line="500" w:lineRule="exact"/>
              <w:rPr>
                <w:rFonts w:hint="eastAsia" w:ascii="宋体" w:hAnsi="宋体" w:cs="宋体"/>
                <w:szCs w:val="21"/>
              </w:rPr>
            </w:pPr>
            <w:r>
              <w:rPr>
                <w:rFonts w:hint="eastAsia" w:ascii="宋体" w:hAnsi="宋体" w:cs="宋体"/>
                <w:szCs w:val="21"/>
              </w:rPr>
              <w:t>投标有效期符合招标文件的要求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28" w:type="dxa"/>
            <w:noWrap w:val="0"/>
            <w:vAlign w:val="center"/>
          </w:tcPr>
          <w:p>
            <w:pPr>
              <w:spacing w:line="276"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696" w:type="dxa"/>
            <w:noWrap w:val="0"/>
            <w:vAlign w:val="center"/>
          </w:tcPr>
          <w:p>
            <w:pPr>
              <w:rPr>
                <w:rFonts w:hint="eastAsia" w:ascii="宋体" w:hAnsi="宋体" w:cs="宋体"/>
                <w:szCs w:val="21"/>
              </w:rPr>
            </w:pPr>
            <w:r>
              <w:rPr>
                <w:rFonts w:hint="eastAsia" w:ascii="宋体" w:hAnsi="宋体" w:cs="宋体"/>
                <w:szCs w:val="21"/>
              </w:rPr>
              <w:t>投标文件符合招标文件规定的实质性要求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24" w:type="dxa"/>
            <w:gridSpan w:val="2"/>
            <w:noWrap w:val="0"/>
            <w:vAlign w:val="center"/>
          </w:tcPr>
          <w:p>
            <w:pPr>
              <w:spacing w:line="360" w:lineRule="auto"/>
              <w:ind w:firstLine="1265" w:firstLineChars="600"/>
              <w:rPr>
                <w:rFonts w:hint="eastAsia" w:ascii="宋体" w:hAnsi="宋体" w:cs="宋体"/>
                <w:szCs w:val="21"/>
              </w:rPr>
            </w:pPr>
            <w:r>
              <w:rPr>
                <w:rFonts w:hint="eastAsia" w:ascii="宋体" w:hAnsi="宋体" w:cs="宋体"/>
                <w:b/>
                <w:bCs/>
                <w:szCs w:val="21"/>
              </w:rPr>
              <w:t>结   论（是否通过）</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bl>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附表3</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详细评审</w:t>
      </w:r>
      <w:r>
        <w:rPr>
          <w:rFonts w:hint="eastAsia" w:asciiTheme="minorEastAsia" w:hAnsiTheme="minorEastAsia" w:eastAsiaTheme="minorEastAsia" w:cstheme="minorEastAsia"/>
          <w:b/>
          <w:sz w:val="40"/>
          <w:szCs w:val="40"/>
        </w:rPr>
        <w:t>表</w:t>
      </w:r>
    </w:p>
    <w:p>
      <w:pPr>
        <w:spacing w:line="440" w:lineRule="exact"/>
        <w:jc w:val="center"/>
        <w:rPr>
          <w:rFonts w:hint="eastAsia" w:asciiTheme="minorEastAsia" w:hAnsiTheme="minorEastAsia" w:eastAsiaTheme="minorEastAsia" w:cstheme="minorEastAsia"/>
          <w:b/>
          <w:sz w:val="32"/>
          <w:szCs w:val="32"/>
        </w:rPr>
      </w:pPr>
    </w:p>
    <w:tbl>
      <w:tblPr>
        <w:tblStyle w:val="17"/>
        <w:tblW w:w="9542" w:type="dxa"/>
        <w:tblInd w:w="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1551"/>
        <w:gridCol w:w="900"/>
        <w:gridCol w:w="6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序号</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pacing w:val="-8"/>
                <w:szCs w:val="21"/>
              </w:rPr>
            </w:pPr>
            <w:r>
              <w:rPr>
                <w:rFonts w:hint="eastAsia" w:ascii="宋体" w:hAnsi="宋体" w:cs="宋体"/>
                <w:b/>
                <w:spacing w:val="-8"/>
                <w:szCs w:val="21"/>
              </w:rPr>
              <w:t>标准分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551"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报价得分</w:t>
            </w:r>
          </w:p>
        </w:tc>
        <w:tc>
          <w:tcPr>
            <w:tcW w:w="90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1.投标报价评审以</w:t>
            </w:r>
            <w:r>
              <w:rPr>
                <w:rFonts w:hint="eastAsia" w:ascii="宋体" w:hAnsi="宋体" w:cs="宋体"/>
                <w:szCs w:val="21"/>
                <w:lang w:val="en-US" w:eastAsia="zh-CN"/>
              </w:rPr>
              <w:t>各型号</w:t>
            </w:r>
            <w:r>
              <w:rPr>
                <w:rFonts w:hint="eastAsia" w:ascii="宋体" w:hAnsi="宋体" w:cs="宋体"/>
                <w:szCs w:val="21"/>
              </w:rPr>
              <w:t>算术平均值为最终评审依据。</w:t>
            </w:r>
          </w:p>
          <w:p>
            <w:pPr>
              <w:pStyle w:val="5"/>
              <w:spacing w:line="360" w:lineRule="exact"/>
              <w:rPr>
                <w:rFonts w:hint="eastAsia" w:ascii="宋体" w:hAnsi="宋体" w:cs="宋体"/>
                <w:szCs w:val="21"/>
              </w:rPr>
            </w:pPr>
            <w:r>
              <w:rPr>
                <w:rFonts w:hint="eastAsia" w:ascii="宋体" w:hAnsi="宋体" w:cs="宋体"/>
                <w:szCs w:val="21"/>
              </w:rPr>
              <w:t>2.评标基准价=有效投标报价中的上述算术平均值的最低值；</w:t>
            </w:r>
          </w:p>
          <w:p>
            <w:pPr>
              <w:pStyle w:val="5"/>
              <w:spacing w:line="360" w:lineRule="exact"/>
              <w:rPr>
                <w:rFonts w:hint="eastAsia" w:ascii="宋体" w:hAnsi="宋体" w:cs="宋体"/>
                <w:szCs w:val="21"/>
              </w:rPr>
            </w:pPr>
            <w:r>
              <w:rPr>
                <w:rFonts w:hint="eastAsia" w:ascii="宋体" w:hAnsi="宋体" w:cs="宋体"/>
                <w:szCs w:val="21"/>
              </w:rPr>
              <w:t>3.有效投标报价：是指通过资格评审和符合性评审并经算术性修正后的投标报价。</w:t>
            </w:r>
          </w:p>
          <w:p>
            <w:pPr>
              <w:pStyle w:val="5"/>
              <w:spacing w:line="360" w:lineRule="exact"/>
              <w:rPr>
                <w:rFonts w:hint="eastAsia" w:ascii="宋体" w:hAnsi="宋体" w:cs="宋体"/>
                <w:szCs w:val="21"/>
              </w:rPr>
            </w:pPr>
            <w:r>
              <w:rPr>
                <w:rFonts w:hint="eastAsia" w:ascii="宋体" w:hAnsi="宋体" w:cs="宋体"/>
                <w:szCs w:val="21"/>
              </w:rPr>
              <w:t>4.投标报价得分：</w:t>
            </w:r>
          </w:p>
          <w:p>
            <w:pPr>
              <w:pStyle w:val="5"/>
              <w:spacing w:line="360" w:lineRule="exact"/>
              <w:rPr>
                <w:rFonts w:hint="eastAsia" w:ascii="宋体" w:hAnsi="宋体" w:cs="宋体"/>
                <w:szCs w:val="21"/>
              </w:rPr>
            </w:pPr>
            <w:r>
              <w:rPr>
                <w:rFonts w:hint="eastAsia" w:ascii="宋体" w:hAnsi="宋体" w:cs="宋体"/>
                <w:szCs w:val="21"/>
              </w:rPr>
              <w:t>有效投标报价与评标基准价一致时得满分；</w:t>
            </w:r>
          </w:p>
          <w:p>
            <w:pPr>
              <w:pStyle w:val="5"/>
              <w:spacing w:line="360" w:lineRule="exact"/>
              <w:rPr>
                <w:rFonts w:hint="eastAsia" w:ascii="宋体" w:hAnsi="宋体" w:cs="宋体"/>
                <w:szCs w:val="21"/>
              </w:rPr>
            </w:pPr>
            <w:r>
              <w:rPr>
                <w:rFonts w:hint="eastAsia" w:ascii="宋体" w:hAnsi="宋体" w:cs="宋体"/>
                <w:b/>
                <w:bCs/>
                <w:szCs w:val="21"/>
              </w:rPr>
              <w:t>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2</w:t>
            </w:r>
          </w:p>
        </w:tc>
        <w:tc>
          <w:tcPr>
            <w:tcW w:w="1551"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color w:val="000000"/>
                <w:szCs w:val="21"/>
              </w:rPr>
              <w:t>企业实力</w:t>
            </w:r>
          </w:p>
        </w:tc>
        <w:tc>
          <w:tcPr>
            <w:tcW w:w="90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eastAsia="宋体" w:cs="宋体"/>
                <w:kern w:val="2"/>
                <w:sz w:val="21"/>
                <w:szCs w:val="21"/>
                <w:lang w:val="en-US" w:eastAsia="zh-CN" w:bidi="ar-SA"/>
              </w:rPr>
            </w:pPr>
            <w:r>
              <w:rPr>
                <w:rFonts w:hint="eastAsia" w:ascii="宋体" w:hAnsi="宋体" w:cs="宋体"/>
                <w:color w:val="000000"/>
                <w:szCs w:val="21"/>
              </w:rPr>
              <w:t>根据企业规模、经营状况、过往业绩（含业绩影响力、难易程度）等方面综合评审，横向对比进行评分；优等1</w:t>
            </w:r>
            <w:r>
              <w:rPr>
                <w:rFonts w:hint="eastAsia" w:ascii="宋体" w:hAnsi="宋体" w:cs="宋体"/>
                <w:color w:val="000000"/>
                <w:szCs w:val="21"/>
                <w:lang w:val="en-US" w:eastAsia="zh-CN"/>
              </w:rPr>
              <w:t>4</w:t>
            </w:r>
            <w:r>
              <w:rPr>
                <w:rFonts w:hint="eastAsia" w:ascii="宋体" w:hAnsi="宋体" w:cs="宋体"/>
                <w:color w:val="000000"/>
                <w:szCs w:val="21"/>
              </w:rPr>
              <w:t>.1-</w:t>
            </w:r>
            <w:r>
              <w:rPr>
                <w:rFonts w:hint="eastAsia" w:ascii="宋体" w:hAnsi="宋体" w:cs="宋体"/>
                <w:color w:val="000000"/>
                <w:szCs w:val="21"/>
                <w:lang w:val="en-US" w:eastAsia="zh-CN"/>
              </w:rPr>
              <w:t>20</w:t>
            </w:r>
            <w:r>
              <w:rPr>
                <w:rFonts w:hint="eastAsia" w:ascii="宋体" w:hAnsi="宋体" w:cs="宋体"/>
                <w:color w:val="000000"/>
                <w:szCs w:val="21"/>
              </w:rPr>
              <w:t>分,良好</w:t>
            </w:r>
            <w:r>
              <w:rPr>
                <w:rFonts w:hint="eastAsia" w:ascii="宋体" w:hAnsi="宋体" w:cs="宋体"/>
                <w:color w:val="000000"/>
                <w:szCs w:val="21"/>
                <w:lang w:val="en-US" w:eastAsia="zh-CN"/>
              </w:rPr>
              <w:t>7</w:t>
            </w:r>
            <w:r>
              <w:rPr>
                <w:rFonts w:hint="eastAsia" w:ascii="宋体" w:hAnsi="宋体" w:cs="宋体"/>
                <w:color w:val="000000"/>
                <w:szCs w:val="21"/>
              </w:rPr>
              <w:t>.1-1</w:t>
            </w:r>
            <w:r>
              <w:rPr>
                <w:rFonts w:hint="eastAsia" w:ascii="宋体" w:hAnsi="宋体" w:cs="宋体"/>
                <w:color w:val="000000"/>
                <w:szCs w:val="21"/>
                <w:lang w:val="en-US" w:eastAsia="zh-CN"/>
              </w:rPr>
              <w:t>4</w:t>
            </w:r>
            <w:r>
              <w:rPr>
                <w:rFonts w:hint="eastAsia" w:ascii="宋体" w:hAnsi="宋体" w:cs="宋体"/>
                <w:color w:val="000000"/>
                <w:szCs w:val="21"/>
              </w:rPr>
              <w:t>分，一般0-</w:t>
            </w: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eastAsia="zh-CN"/>
              </w:rPr>
            </w:pPr>
            <w:r>
              <w:rPr>
                <w:rFonts w:hint="eastAsia" w:ascii="宋体" w:hAnsi="宋体" w:cs="宋体"/>
                <w:szCs w:val="21"/>
                <w:lang w:val="en-US" w:eastAsia="zh-CN"/>
              </w:rPr>
              <w:t>3</w:t>
            </w:r>
          </w:p>
        </w:tc>
        <w:tc>
          <w:tcPr>
            <w:tcW w:w="1551"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产品质量及质量保证措施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产品质量保证措施科学合理得1</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1551"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产品质量保证措施较科学合理得</w:t>
            </w:r>
            <w:r>
              <w:rPr>
                <w:rFonts w:hint="eastAsia" w:ascii="宋体" w:hAnsi="宋体" w:cs="宋体"/>
                <w:szCs w:val="21"/>
                <w:lang w:val="en-US" w:eastAsia="zh-CN"/>
              </w:rPr>
              <w:t>7</w:t>
            </w:r>
            <w:r>
              <w:rPr>
                <w:rFonts w:hint="eastAsia" w:ascii="宋体" w:hAnsi="宋体" w:cs="宋体"/>
                <w:szCs w:val="21"/>
              </w:rPr>
              <w:t>.1-1</w:t>
            </w: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73"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551"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产品质量保证措施一般得0-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trPr>
        <w:tc>
          <w:tcPr>
            <w:tcW w:w="87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4</w:t>
            </w:r>
          </w:p>
        </w:tc>
        <w:tc>
          <w:tcPr>
            <w:tcW w:w="1551"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rPr>
                <w:rFonts w:hint="eastAsia" w:hAnsi="宋体" w:cs="宋体"/>
              </w:rPr>
            </w:pPr>
            <w:r>
              <w:rPr>
                <w:rFonts w:hint="eastAsia" w:hAnsi="宋体" w:cs="宋体"/>
              </w:rPr>
              <w:t>投标产品性能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szCs w:val="21"/>
              </w:rPr>
              <w:t>综合性能好得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trPr>
        <w:tc>
          <w:tcPr>
            <w:tcW w:w="873"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551"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综合性能较好得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873"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551"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综合性能一般得0-</w:t>
            </w:r>
            <w:r>
              <w:rPr>
                <w:rFonts w:hint="eastAsia" w:ascii="宋体" w:hAnsi="宋体" w:cs="宋体"/>
                <w:szCs w:val="21"/>
                <w:lang w:val="en-US" w:eastAsia="zh-CN"/>
              </w:rPr>
              <w:t>4</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87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default" w:ascii="宋体" w:hAnsi="宋体" w:eastAsia="宋体" w:cs="宋体"/>
                <w:szCs w:val="21"/>
                <w:lang w:val="en-US" w:eastAsia="zh-CN"/>
              </w:rPr>
            </w:pPr>
            <w:r>
              <w:rPr>
                <w:rFonts w:hint="eastAsia" w:ascii="宋体" w:hAnsi="宋体" w:cs="宋体"/>
                <w:szCs w:val="21"/>
                <w:lang w:val="en-US" w:eastAsia="zh-CN"/>
              </w:rPr>
              <w:t>5</w:t>
            </w:r>
          </w:p>
        </w:tc>
        <w:tc>
          <w:tcPr>
            <w:tcW w:w="1551"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供货进度计划及保障措施</w:t>
            </w:r>
          </w:p>
        </w:tc>
        <w:tc>
          <w:tcPr>
            <w:tcW w:w="900" w:type="dxa"/>
            <w:vMerge w:val="restart"/>
            <w:tcBorders>
              <w:top w:val="single" w:color="auto" w:sz="4" w:space="0"/>
              <w:left w:val="single" w:color="auto" w:sz="4" w:space="0"/>
              <w:right w:val="single" w:color="auto" w:sz="4" w:space="0"/>
            </w:tcBorders>
            <w:noWrap w:val="0"/>
            <w:vAlign w:val="center"/>
          </w:tcPr>
          <w:p>
            <w:pPr>
              <w:pStyle w:val="57"/>
              <w:snapToGrid w:val="0"/>
              <w:spacing w:line="400" w:lineRule="exact"/>
              <w:jc w:val="center"/>
              <w:rPr>
                <w:rFonts w:hint="eastAsia" w:cs="宋体"/>
                <w:szCs w:val="21"/>
              </w:rPr>
            </w:pPr>
            <w:r>
              <w:rPr>
                <w:rFonts w:hint="eastAsia" w:cs="宋体"/>
                <w:szCs w:val="21"/>
                <w:lang w:val="en-US" w:eastAsia="zh-CN"/>
              </w:rPr>
              <w:t>10</w:t>
            </w:r>
            <w:r>
              <w:rPr>
                <w:rFonts w:hint="eastAsia"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bCs/>
                <w:szCs w:val="21"/>
              </w:rPr>
              <w:t>根据投标单位供货方案综合评定，科学合理完善得</w:t>
            </w:r>
            <w:r>
              <w:rPr>
                <w:rFonts w:hint="eastAsia" w:ascii="宋体" w:hAnsi="宋体" w:cs="宋体"/>
                <w:szCs w:val="21"/>
                <w:lang w:val="en-US" w:eastAsia="zh-CN"/>
              </w:rPr>
              <w:t>7.1</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73"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1551"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方案基本满足要求得</w:t>
            </w:r>
            <w:r>
              <w:rPr>
                <w:rFonts w:hint="eastAsia" w:ascii="宋体" w:hAnsi="宋体" w:cs="宋体"/>
                <w:szCs w:val="21"/>
                <w:lang w:val="en-US" w:eastAsia="zh-CN"/>
              </w:rPr>
              <w:t>4.1</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87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551"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方案存在缺陷得</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6</w:t>
            </w:r>
          </w:p>
        </w:tc>
        <w:tc>
          <w:tcPr>
            <w:tcW w:w="1551"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售后服务</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售后服务科学合理完善及时、承诺明确，得7.1-10分；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3"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551"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售后服务较完善、承诺较明确得4.1-7分；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55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售后服务一般，承诺一般得0-4分；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4"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cs="宋体"/>
                <w:szCs w:val="21"/>
              </w:rPr>
            </w:pPr>
            <w:r>
              <w:rPr>
                <w:rFonts w:hint="eastAsia" w:ascii="宋体" w:hAnsi="宋体" w:cs="宋体"/>
                <w:szCs w:val="21"/>
                <w:lang w:val="en-US" w:eastAsia="zh-CN"/>
              </w:rPr>
              <w:t>考察得分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cs="宋体"/>
                <w:szCs w:val="21"/>
              </w:rPr>
            </w:pPr>
            <w:r>
              <w:rPr>
                <w:rFonts w:hint="eastAsia" w:ascii="宋体" w:hAnsi="宋体" w:cs="宋体"/>
                <w:szCs w:val="21"/>
              </w:rPr>
              <w:t>招标人对供应商的资料真实性、履约能力、综合实力、售后服务等各方面进行实地考察</w:t>
            </w:r>
            <w:r>
              <w:rPr>
                <w:rFonts w:hint="eastAsia" w:ascii="宋体" w:hAnsi="宋体" w:cs="宋体"/>
                <w:szCs w:val="21"/>
                <w:lang w:val="en-US" w:eastAsia="zh-CN"/>
              </w:rPr>
              <w:t>得分，最高得10分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42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合  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100分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kern w:val="2"/>
                <w:sz w:val="21"/>
                <w:szCs w:val="21"/>
                <w:lang w:val="en-US" w:eastAsia="zh-CN" w:bidi="ar-SA"/>
              </w:rPr>
            </w:pPr>
          </w:p>
        </w:tc>
      </w:tr>
    </w:tbl>
    <w:p>
      <w:pPr>
        <w:rPr>
          <w:rFonts w:ascii="宋体" w:hAnsi="宋体"/>
          <w:b/>
          <w:bCs/>
          <w:sz w:val="32"/>
        </w:rPr>
      </w:pPr>
      <w:r>
        <w:rPr>
          <w:rFonts w:hint="eastAsia" w:ascii="宋体" w:hAnsi="宋体"/>
          <w:b/>
          <w:bCs/>
          <w:sz w:val="32"/>
        </w:rPr>
        <w:br w:type="page"/>
      </w:r>
    </w:p>
    <w:p>
      <w:pPr>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合同条款</w:t>
      </w:r>
    </w:p>
    <w:p>
      <w:pPr>
        <w:jc w:val="center"/>
        <w:rPr>
          <w:rFonts w:ascii="宋体" w:hAnsi="宋体" w:cs="宋体"/>
          <w:b/>
          <w:color w:val="000000"/>
          <w:sz w:val="32"/>
          <w:szCs w:val="32"/>
        </w:rPr>
      </w:pPr>
      <w:r>
        <w:rPr>
          <w:rFonts w:hint="eastAsia" w:ascii="宋体" w:hAnsi="宋体" w:cs="宋体"/>
          <w:b/>
          <w:color w:val="000000"/>
          <w:sz w:val="32"/>
          <w:szCs w:val="32"/>
        </w:rPr>
        <w:t>镀锌铁皮战略合作供应商协议</w:t>
      </w:r>
    </w:p>
    <w:p>
      <w:pPr>
        <w:spacing w:line="360" w:lineRule="auto"/>
        <w:jc w:val="center"/>
        <w:rPr>
          <w:rFonts w:hint="eastAsia" w:ascii="宋体" w:hAnsi="宋体" w:cs="宋体"/>
          <w:color w:val="000000"/>
          <w:sz w:val="24"/>
          <w:szCs w:val="24"/>
        </w:rPr>
      </w:pPr>
    </w:p>
    <w:p>
      <w:pPr>
        <w:tabs>
          <w:tab w:val="left" w:pos="5100"/>
        </w:tabs>
        <w:spacing w:line="360" w:lineRule="auto"/>
        <w:rPr>
          <w:rFonts w:hint="eastAsia" w:ascii="宋体" w:hAnsi="宋体" w:cs="宋体"/>
          <w:color w:val="000000"/>
          <w:sz w:val="24"/>
          <w:szCs w:val="24"/>
        </w:rPr>
      </w:pPr>
      <w:r>
        <w:rPr>
          <w:rFonts w:hint="eastAsia" w:ascii="宋体" w:hAnsi="宋体" w:cs="宋体"/>
          <w:color w:val="000000"/>
          <w:sz w:val="24"/>
          <w:szCs w:val="24"/>
        </w:rPr>
        <w:t>甲方（需方）：</w:t>
      </w:r>
      <w:r>
        <w:rPr>
          <w:rFonts w:hint="eastAsia" w:ascii="宋体" w:hAnsi="宋体" w:cs="宋体"/>
          <w:color w:val="000000"/>
          <w:sz w:val="24"/>
          <w:szCs w:val="24"/>
          <w:u w:val="single"/>
        </w:rPr>
        <w:t xml:space="preserve">                    </w:t>
      </w:r>
      <w:r>
        <w:rPr>
          <w:rFonts w:hint="eastAsia" w:ascii="宋体" w:hAnsi="宋体" w:cs="宋体"/>
          <w:color w:val="000000"/>
          <w:sz w:val="24"/>
          <w:szCs w:val="24"/>
        </w:rPr>
        <w:t>（以下简称甲方）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乙方（供方）：</w:t>
      </w:r>
      <w:r>
        <w:rPr>
          <w:rFonts w:hint="eastAsia" w:ascii="宋体" w:hAnsi="宋体" w:cs="宋体"/>
          <w:color w:val="000000"/>
          <w:sz w:val="24"/>
          <w:szCs w:val="24"/>
          <w:u w:val="single"/>
        </w:rPr>
        <w:t xml:space="preserve">                    </w:t>
      </w:r>
      <w:r>
        <w:rPr>
          <w:rFonts w:hint="eastAsia" w:ascii="宋体" w:hAnsi="宋体" w:cs="宋体"/>
          <w:color w:val="000000"/>
          <w:sz w:val="24"/>
          <w:szCs w:val="24"/>
        </w:rPr>
        <w:t>（以下简称乙方）</w:t>
      </w:r>
    </w:p>
    <w:p>
      <w:pPr>
        <w:spacing w:line="360" w:lineRule="auto"/>
        <w:rPr>
          <w:rFonts w:hint="eastAsia" w:ascii="宋体" w:hAnsi="宋体" w:cs="宋体"/>
          <w:color w:val="000000"/>
          <w:sz w:val="24"/>
          <w:szCs w:val="24"/>
          <w:u w:val="thick"/>
        </w:rPr>
      </w:pPr>
      <w:r>
        <w:rPr>
          <w:rFonts w:hint="eastAsia" w:ascii="宋体" w:hAnsi="宋体" w:cs="宋体"/>
          <w:color w:val="000000"/>
          <w:sz w:val="24"/>
          <w:szCs w:val="24"/>
        </w:rPr>
        <w:t>协议编号：</w:t>
      </w:r>
      <w:r>
        <w:rPr>
          <w:rFonts w:hint="eastAsia" w:ascii="宋体" w:hAnsi="宋体" w:cs="宋体"/>
          <w:color w:val="000000"/>
          <w:sz w:val="24"/>
          <w:szCs w:val="24"/>
          <w:u w:val="single"/>
        </w:rPr>
        <w:t xml:space="preserve">              </w:t>
      </w:r>
    </w:p>
    <w:p>
      <w:pPr>
        <w:pStyle w:val="7"/>
        <w:ind w:firstLineChars="200"/>
        <w:jc w:val="left"/>
        <w:rPr>
          <w:rFonts w:hint="eastAsia" w:hAnsi="宋体" w:cs="宋体"/>
          <w:color w:val="000000"/>
          <w:szCs w:val="24"/>
        </w:rPr>
      </w:pPr>
      <w:r>
        <w:rPr>
          <w:rFonts w:hint="eastAsia" w:hAnsi="宋体" w:cs="宋体"/>
          <w:color w:val="000000"/>
          <w:szCs w:val="24"/>
        </w:rPr>
        <w:t>依照《中华人民共和国民法典》及其它相关法律法规的规定，遵循平等、自愿、公平和诚实信用的原则，经双方协商一致，订立本协议，以资共同遵照执行。</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一、协议有效期限</w:t>
      </w:r>
    </w:p>
    <w:p>
      <w:pPr>
        <w:pStyle w:val="7"/>
        <w:rPr>
          <w:rFonts w:hint="eastAsia" w:hAnsi="宋体" w:cs="宋体"/>
          <w:szCs w:val="24"/>
        </w:rPr>
      </w:pPr>
      <w:r>
        <w:rPr>
          <w:rFonts w:hint="eastAsia" w:hAnsi="宋体" w:cs="宋体"/>
          <w:color w:val="000000"/>
          <w:szCs w:val="24"/>
        </w:rPr>
        <w:t>1.本协议自双方盖章之日起生效</w:t>
      </w:r>
      <w:r>
        <w:rPr>
          <w:rFonts w:hint="eastAsia" w:hAnsi="宋体" w:cs="宋体"/>
          <w:szCs w:val="24"/>
        </w:rPr>
        <w:t>至2024年12月31日。</w:t>
      </w:r>
    </w:p>
    <w:p>
      <w:pPr>
        <w:pStyle w:val="7"/>
        <w:rPr>
          <w:rFonts w:hint="eastAsia" w:hAnsi="宋体" w:cs="宋体"/>
          <w:color w:val="000000"/>
          <w:szCs w:val="24"/>
        </w:rPr>
      </w:pPr>
      <w:r>
        <w:rPr>
          <w:rFonts w:hint="eastAsia" w:hAnsi="宋体" w:cs="宋体"/>
          <w:color w:val="000000"/>
          <w:szCs w:val="24"/>
        </w:rPr>
        <w:t>2. 本协议终止并不代表相关责任的终止。</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二、供货方式及要求</w:t>
      </w:r>
    </w:p>
    <w:p>
      <w:pPr>
        <w:pStyle w:val="7"/>
        <w:ind w:firstLineChars="200"/>
        <w:rPr>
          <w:rFonts w:hint="eastAsia" w:hAnsi="宋体" w:cs="宋体"/>
          <w:color w:val="000000"/>
          <w:szCs w:val="24"/>
        </w:rPr>
      </w:pPr>
      <w:r>
        <w:rPr>
          <w:rFonts w:hint="eastAsia" w:hAnsi="宋体" w:cs="宋体"/>
          <w:color w:val="000000"/>
          <w:szCs w:val="24"/>
        </w:rPr>
        <w:t>1.本协议下的货物由【乙方】负责运输，运费及装卸费用由【乙方】方承担。</w:t>
      </w:r>
    </w:p>
    <w:p>
      <w:pPr>
        <w:pStyle w:val="7"/>
        <w:ind w:firstLine="0"/>
        <w:rPr>
          <w:rFonts w:hint="eastAsia" w:hAnsi="宋体" w:cs="宋体"/>
          <w:color w:val="000000"/>
          <w:szCs w:val="24"/>
        </w:rPr>
      </w:pPr>
      <w:r>
        <w:rPr>
          <w:rFonts w:hint="eastAsia" w:hAnsi="宋体" w:cs="宋体"/>
          <w:color w:val="000000"/>
          <w:szCs w:val="24"/>
        </w:rPr>
        <w:t>2.乙方应按甲方通知的时间交货。交货完毕后，甲方应在</w:t>
      </w:r>
      <w:r>
        <w:rPr>
          <w:rFonts w:hint="eastAsia" w:hAnsi="宋体" w:cs="宋体"/>
          <w:color w:val="000000"/>
          <w:szCs w:val="24"/>
          <w:u w:val="thick"/>
        </w:rPr>
        <w:t xml:space="preserve">     </w:t>
      </w:r>
      <w:r>
        <w:rPr>
          <w:rFonts w:hint="eastAsia" w:hAnsi="宋体" w:cs="宋体"/>
          <w:color w:val="000000"/>
          <w:szCs w:val="24"/>
        </w:rPr>
        <w:t>日内完成验收，验收存在问题的应书面向乙方反馈信息，乙方在接到甲方书面异议后，应在</w:t>
      </w:r>
      <w:r>
        <w:rPr>
          <w:rFonts w:hint="eastAsia" w:hAnsi="宋体" w:cs="宋体"/>
          <w:color w:val="000000"/>
          <w:szCs w:val="24"/>
          <w:u w:val="thick"/>
        </w:rPr>
        <w:t>___ __</w:t>
      </w:r>
      <w:r>
        <w:rPr>
          <w:rFonts w:hint="eastAsia" w:hAnsi="宋体" w:cs="宋体"/>
          <w:color w:val="000000"/>
          <w:szCs w:val="24"/>
        </w:rPr>
        <w:t>日内负责处理并通知甲方处理情况，否则，即视为接受甲方提出的异议和处理意见；乙方应自接到甲方通知之日起</w:t>
      </w:r>
      <w:r>
        <w:rPr>
          <w:rFonts w:hint="eastAsia" w:hAnsi="宋体" w:cs="宋体"/>
          <w:color w:val="000000"/>
          <w:szCs w:val="24"/>
          <w:u w:val="single"/>
        </w:rPr>
        <w:t>7日内将甲方提出异议的货物全部运离甲方，未在规定时间运离的，乙方应按同等地段的仓储费用标准向甲方支付仓储费用，存放期间如发生货物丢失、损坏等情况，责任均由乙方承担。</w:t>
      </w:r>
      <w:r>
        <w:rPr>
          <w:rFonts w:hint="eastAsia" w:hAnsi="宋体" w:cs="宋体"/>
          <w:color w:val="000000"/>
          <w:szCs w:val="24"/>
        </w:rPr>
        <w:t>如双方对产品质量是否有问题存在分歧，则可共同委托有资质的独立第三方检验机构进行检验（乙方应预付检验费），质量合格的，检验费由甲方承担；质量不合格的，检验费由乙方承担。如乙方不配合甲方进行质量检验（包括拒不配合甲方选定检验机构或选定检验机构后不预付检验费的）的，则甲方也可单独委托有资质的独立第三方检验机构，在该等情况下检验机构的检测结果效力亦被视为合法有效且为双方所认可的，效力及于双方。</w:t>
      </w:r>
    </w:p>
    <w:p>
      <w:pPr>
        <w:pStyle w:val="7"/>
        <w:ind w:firstLine="0"/>
        <w:rPr>
          <w:rFonts w:hint="eastAsia" w:hAnsi="宋体" w:cs="宋体"/>
          <w:color w:val="000000"/>
          <w:szCs w:val="24"/>
        </w:rPr>
      </w:pPr>
      <w:r>
        <w:rPr>
          <w:rFonts w:hint="eastAsia" w:hAnsi="宋体" w:cs="宋体"/>
          <w:color w:val="000000"/>
          <w:szCs w:val="24"/>
        </w:rPr>
        <w:t>3.乙方负责安装调试的，则甲方应及时组织有关人员进行验收。验收完毕由双方代表在验收单上签字，验收单一式两份，双方各执一份。 </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三、质量要求、技术标准、品牌及乙方对质量负责的条件和期限：</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1.按国家标准执行：质量要求应符合国家标准，如果甲方在签订协议时提出了明确要求或乙方对其产品的承诺或宣传标准高于国家标准，按照甲方要求或乙方承诺或宣传的标准执行。</w:t>
      </w:r>
    </w:p>
    <w:p>
      <w:pPr>
        <w:spacing w:line="360" w:lineRule="auto"/>
        <w:ind w:firstLine="477" w:firstLineChars="199"/>
        <w:rPr>
          <w:rFonts w:hint="eastAsia" w:ascii="宋体" w:hAnsi="宋体" w:cs="宋体"/>
          <w:color w:val="000000"/>
          <w:sz w:val="24"/>
          <w:szCs w:val="24"/>
        </w:rPr>
      </w:pPr>
      <w:r>
        <w:rPr>
          <w:rFonts w:hint="eastAsia" w:ascii="宋体" w:hAnsi="宋体" w:cs="宋体"/>
          <w:sz w:val="24"/>
          <w:szCs w:val="24"/>
        </w:rPr>
        <w:t>2.验收标准、方法、地点及期限：产品规格、数量应在卸车前与发货明细表核对。</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3.乙方供货时随车必须提供乙方加盖公章的质量证明文件。</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4.乙方必须保证所供产品为合格产品，且不得侵害他人合法权益。</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5.甲方的验收合格并不能免除乙方对货物质量应承担的质保义务及责任，也不能视为甲方放弃或免除其对乙方所供货物出现产品质量与约定不符等问题导致甲方拒收或追究乙方责任的权利。</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6. 乙方产品的质保期为</w:t>
      </w:r>
      <w:r>
        <w:rPr>
          <w:rFonts w:hint="eastAsia" w:ascii="宋体" w:hAnsi="宋体" w:cs="宋体"/>
          <w:color w:val="000000"/>
          <w:sz w:val="24"/>
          <w:szCs w:val="24"/>
          <w:u w:val="single"/>
        </w:rPr>
        <w:t xml:space="preserve"> 1 </w:t>
      </w:r>
      <w:r>
        <w:rPr>
          <w:rFonts w:hint="eastAsia" w:ascii="宋体" w:hAnsi="宋体" w:cs="宋体"/>
          <w:color w:val="000000"/>
          <w:sz w:val="24"/>
          <w:szCs w:val="24"/>
        </w:rPr>
        <w:t>年（根据实际年限填写，如不适用则在横线上填写/，自甲方验收合格之日起计算），质保期内出现任何质量问题，乙方应负责免费更换，并就因此给甲方造成的损失承担赔偿责任。合同价款的</w:t>
      </w:r>
      <w:r>
        <w:rPr>
          <w:rFonts w:hint="eastAsia" w:ascii="宋体" w:hAnsi="宋体" w:cs="宋体"/>
          <w:color w:val="000000"/>
          <w:sz w:val="24"/>
          <w:szCs w:val="24"/>
          <w:u w:val="single"/>
        </w:rPr>
        <w:t>/</w:t>
      </w:r>
      <w:r>
        <w:rPr>
          <w:rFonts w:hint="eastAsia" w:ascii="宋体" w:hAnsi="宋体" w:cs="宋体"/>
          <w:color w:val="000000"/>
          <w:sz w:val="24"/>
          <w:szCs w:val="24"/>
        </w:rPr>
        <w:t>%作为质保金，待质保期届满后无息支付，不计算利息。质保期内如出现产品质量问题，则甲方有权要求乙方免费更换并赔偿损失，乙方不履行该项义务的，甲方有权委托第三方更换，并有权将因此产生的成本及损失在应付乙方的任意一笔款项中直接扣除，不足部分应由乙方补齐。</w:t>
      </w:r>
    </w:p>
    <w:p>
      <w:pPr>
        <w:spacing w:line="360" w:lineRule="auto"/>
        <w:ind w:firstLine="477" w:firstLineChars="199"/>
        <w:rPr>
          <w:rFonts w:hint="eastAsia" w:ascii="宋体" w:hAnsi="宋体" w:cs="宋体"/>
          <w:color w:val="000000"/>
          <w:sz w:val="24"/>
          <w:szCs w:val="24"/>
        </w:rPr>
      </w:pPr>
      <w:r>
        <w:rPr>
          <w:rFonts w:hint="eastAsia" w:ascii="宋体" w:hAnsi="宋体" w:cs="宋体"/>
          <w:color w:val="000000"/>
          <w:sz w:val="24"/>
          <w:szCs w:val="24"/>
        </w:rPr>
        <w:t>7. 无论乙方就其产品是否承诺质保期，其产品的正常使用年限均不得低于国家或行业相关标准，且不得低于市场同类商品中质量较优者的使用年限。</w:t>
      </w:r>
    </w:p>
    <w:p>
      <w:pPr>
        <w:spacing w:line="360" w:lineRule="auto"/>
        <w:ind w:left="1"/>
        <w:rPr>
          <w:rFonts w:hint="eastAsia" w:ascii="宋体" w:hAnsi="宋体" w:cs="宋体"/>
          <w:b/>
          <w:color w:val="000000"/>
          <w:sz w:val="24"/>
          <w:szCs w:val="24"/>
        </w:rPr>
      </w:pPr>
      <w:r>
        <w:rPr>
          <w:rFonts w:hint="eastAsia" w:ascii="宋体" w:hAnsi="宋体" w:cs="宋体"/>
          <w:b/>
          <w:color w:val="000000"/>
          <w:sz w:val="24"/>
          <w:szCs w:val="24"/>
        </w:rPr>
        <w:t>四、付款方式</w:t>
      </w:r>
    </w:p>
    <w:p>
      <w:pPr>
        <w:pStyle w:val="7"/>
        <w:ind w:firstLine="462" w:firstLineChars="175"/>
        <w:rPr>
          <w:rFonts w:hint="eastAsia" w:hAnsi="宋体" w:cs="宋体"/>
          <w:color w:val="000000"/>
          <w:szCs w:val="24"/>
        </w:rPr>
      </w:pPr>
      <w:r>
        <w:rPr>
          <w:rFonts w:hint="eastAsia" w:hAnsi="宋体" w:cs="宋体"/>
          <w:color w:val="000000"/>
          <w:szCs w:val="24"/>
        </w:rPr>
        <w:t>1.本合同为框架合同，双方同意按每次具体采购订单的金额进行付款。</w:t>
      </w:r>
    </w:p>
    <w:p>
      <w:pPr>
        <w:pStyle w:val="7"/>
        <w:ind w:firstLine="462" w:firstLineChars="175"/>
        <w:rPr>
          <w:rFonts w:hint="eastAsia" w:hAnsi="宋体" w:cs="宋体"/>
          <w:color w:val="000000"/>
          <w:szCs w:val="24"/>
        </w:rPr>
      </w:pPr>
      <w:r>
        <w:rPr>
          <w:rFonts w:hint="eastAsia" w:hAnsi="宋体" w:cs="宋体"/>
          <w:color w:val="000000"/>
          <w:szCs w:val="24"/>
        </w:rPr>
        <w:t>2.付款方式：</w:t>
      </w:r>
      <w:r>
        <w:rPr>
          <w:rFonts w:hint="eastAsia" w:hAnsi="宋体" w:cs="宋体"/>
          <w:szCs w:val="24"/>
        </w:rPr>
        <w:t>以实际采购时注明的付款方式为准。</w:t>
      </w:r>
    </w:p>
    <w:p>
      <w:pPr>
        <w:pStyle w:val="7"/>
        <w:ind w:firstLine="462" w:firstLineChars="175"/>
        <w:rPr>
          <w:rFonts w:hint="eastAsia" w:hAnsi="宋体" w:cs="宋体"/>
          <w:color w:val="000000"/>
          <w:szCs w:val="24"/>
        </w:rPr>
      </w:pPr>
      <w:r>
        <w:rPr>
          <w:rFonts w:hint="eastAsia" w:hAnsi="宋体" w:cs="宋体"/>
          <w:color w:val="000000"/>
          <w:szCs w:val="24"/>
        </w:rPr>
        <w:t>乙方向甲方开具的增值税专用发票必须确保信息真实，因发票信息有误导致不能抵扣税款或者被认定为虚开的，或因乙方开具发票不及时给甲方造成无法及时认证、抵扣的，乙方均需向甲方承担赔偿责任，包括但不限于税款、滞纳金、罚款及相关损失等。</w:t>
      </w:r>
    </w:p>
    <w:p>
      <w:pPr>
        <w:pStyle w:val="7"/>
        <w:rPr>
          <w:rFonts w:hint="eastAsia" w:hAnsi="宋体" w:cs="宋体"/>
          <w:b/>
          <w:color w:val="000000"/>
          <w:szCs w:val="24"/>
        </w:rPr>
      </w:pPr>
      <w:r>
        <w:rPr>
          <w:rFonts w:hint="eastAsia" w:hAnsi="宋体" w:cs="宋体"/>
          <w:b/>
          <w:color w:val="000000"/>
          <w:szCs w:val="24"/>
        </w:rPr>
        <w:t>五、违约责任</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乙方所供货物必须保质保量。如果产品出现质量问题，且存在质量问题的产品低于或等于该批产品总量的10%的，甲方有权要求乙方对存在质量问题的产品办理退货手续或进行更换。超过10%的，甲方有权要求乙方对全部产品进行更换，乙方应按照货款金额的10%支付违约金。因产品质量问题造成第三方损失累及甲方承担责任的，乙方应赔偿由此给甲方造成的全部损失。乙方连续或累计两批次货物存在质量问题的产品超过该批产品总量的10%的，甲方有权单方面解除本协议。</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bCs/>
          <w:color w:val="000000"/>
          <w:sz w:val="24"/>
          <w:szCs w:val="24"/>
        </w:rPr>
        <w:t>乙方应依照合同约定及时将货物送达到甲方指定的地点，每延迟一天，乙方应按货款的</w:t>
      </w:r>
      <w:r>
        <w:rPr>
          <w:rFonts w:hint="eastAsia" w:ascii="宋体" w:hAnsi="宋体" w:cs="宋体"/>
          <w:bCs/>
          <w:color w:val="000000"/>
          <w:sz w:val="24"/>
          <w:szCs w:val="24"/>
          <w:u w:val="single"/>
        </w:rPr>
        <w:t xml:space="preserve"> 1 </w:t>
      </w:r>
      <w:r>
        <w:rPr>
          <w:rFonts w:hint="eastAsia" w:ascii="宋体" w:hAnsi="宋体" w:cs="宋体"/>
          <w:bCs/>
          <w:color w:val="000000"/>
          <w:sz w:val="24"/>
          <w:szCs w:val="24"/>
        </w:rPr>
        <w:t>％向甲方支付违约金；逾期送达超过</w:t>
      </w:r>
      <w:r>
        <w:rPr>
          <w:rFonts w:hint="eastAsia" w:ascii="宋体" w:hAnsi="宋体" w:cs="宋体"/>
          <w:bCs/>
          <w:color w:val="000000"/>
          <w:sz w:val="24"/>
          <w:szCs w:val="24"/>
          <w:u w:val="single"/>
        </w:rPr>
        <w:t>15</w:t>
      </w:r>
      <w:r>
        <w:rPr>
          <w:rFonts w:hint="eastAsia" w:ascii="宋体" w:hAnsi="宋体" w:cs="宋体"/>
          <w:bCs/>
          <w:color w:val="000000"/>
          <w:sz w:val="24"/>
          <w:szCs w:val="24"/>
        </w:rPr>
        <w:t>天的，甲方有权单方面解除本协议</w:t>
      </w:r>
      <w:r>
        <w:rPr>
          <w:rFonts w:hint="eastAsia" w:ascii="宋体" w:hAnsi="宋体" w:cs="宋体"/>
          <w:color w:val="000000"/>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3.在协议执行过程中，甲方向乙方发询价函邀请报价，乙方应在规定的时间内回函；超过3次不回函，</w:t>
      </w:r>
      <w:r>
        <w:rPr>
          <w:rFonts w:hint="eastAsia" w:ascii="宋体" w:hAnsi="宋体" w:cs="宋体"/>
          <w:bCs/>
          <w:sz w:val="24"/>
          <w:szCs w:val="24"/>
        </w:rPr>
        <w:t>甲方有权单方面解除本协议</w:t>
      </w:r>
      <w:r>
        <w:rPr>
          <w:rFonts w:hint="eastAsia" w:ascii="宋体" w:hAnsi="宋体" w:cs="宋体"/>
          <w:kern w:val="0"/>
          <w:sz w:val="24"/>
          <w:szCs w:val="24"/>
          <w:lang w:bidi="ar"/>
        </w:rPr>
        <w:t>。</w:t>
      </w:r>
    </w:p>
    <w:p>
      <w:pPr>
        <w:pStyle w:val="7"/>
        <w:ind w:firstLineChars="200"/>
        <w:rPr>
          <w:rFonts w:hint="eastAsia" w:hAnsi="宋体" w:cs="宋体"/>
          <w:color w:val="000000"/>
          <w:szCs w:val="24"/>
        </w:rPr>
      </w:pPr>
      <w:r>
        <w:rPr>
          <w:rFonts w:hint="eastAsia" w:hAnsi="宋体" w:cs="宋体"/>
          <w:bCs/>
          <w:color w:val="000000"/>
          <w:szCs w:val="24"/>
        </w:rPr>
        <w:t>4.乙方同意并认可：依据本协议约定，乙方应向甲方承担的赔偿责任、违约责任所对应的款项，甲方有权从应向乙方支付的任意一笔款项中直接扣除；不足扣除的，乙方应继续承担赔偿责任。乙方应承担的违约责任、赔偿责任除应</w:t>
      </w:r>
      <w:r>
        <w:rPr>
          <w:rFonts w:hint="eastAsia" w:hAnsi="宋体" w:cs="宋体"/>
          <w:color w:val="000000"/>
          <w:szCs w:val="24"/>
        </w:rPr>
        <w:t>赔偿给甲方造成的全部损失，还应赔偿甲方因主张权利所花费的全部费用（包括但不限于诉讼费、律师费、保全费、保全保函费、公告费、执行费、差旅费、查询费等实现权利全部费用）。</w:t>
      </w:r>
    </w:p>
    <w:p>
      <w:pPr>
        <w:pStyle w:val="7"/>
        <w:ind w:firstLine="0"/>
        <w:rPr>
          <w:rFonts w:hint="eastAsia" w:hAnsi="宋体" w:cs="宋体"/>
          <w:b/>
          <w:color w:val="000000"/>
          <w:szCs w:val="24"/>
        </w:rPr>
      </w:pPr>
      <w:r>
        <w:rPr>
          <w:rFonts w:hint="eastAsia" w:hAnsi="宋体" w:cs="宋体"/>
          <w:b/>
          <w:color w:val="000000"/>
          <w:szCs w:val="24"/>
        </w:rPr>
        <w:t>六、不可抗力</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1. 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 任何一方由于不可抗力原因不能履行合同时，应在不可抗力事件结束后15日内向对方通报，以减轻可能给对方造成的损失，在取得有关机构的不可抗力证明后，允许延期履行、部分履行或者不履行合同，并根据情况可部分或全部免予承担违约责任。 </w:t>
      </w:r>
    </w:p>
    <w:p>
      <w:pPr>
        <w:tabs>
          <w:tab w:val="left" w:pos="4975"/>
        </w:tabs>
        <w:spacing w:line="360" w:lineRule="auto"/>
        <w:rPr>
          <w:rFonts w:hint="eastAsia" w:ascii="宋体" w:hAnsi="宋体" w:cs="宋体"/>
          <w:b/>
          <w:color w:val="000000"/>
          <w:sz w:val="24"/>
          <w:szCs w:val="24"/>
        </w:rPr>
      </w:pPr>
      <w:r>
        <w:rPr>
          <w:rFonts w:hint="eastAsia" w:ascii="宋体" w:hAnsi="宋体" w:cs="宋体"/>
          <w:b/>
          <w:color w:val="000000"/>
          <w:sz w:val="24"/>
          <w:szCs w:val="24"/>
        </w:rPr>
        <w:t>七、廉洁承诺条款</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为建立与巩固长期的合作伙伴关系，保障合作的公平、公正、公开，乙方已充分理解国家有关廉洁政策和法规、充分理解甲方的廉洁自律规定及企业文化、充分了解甲方供应商管理制度的严肃性，特向甲方郑重承诺如下：  </w:t>
      </w:r>
    </w:p>
    <w:p>
      <w:pPr>
        <w:numPr>
          <w:ilvl w:val="0"/>
          <w:numId w:val="8"/>
        </w:num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 保证所提供的证照、资质证明、企业及个人简介、产品名称及规格书、票据、权证等资料均是真实、合法、有效的，不存在虚假、欺瞒、伪造行为。如上述资料发生变更，乙方应在合理的时间内尽快通知甲方；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2. 因交易而接触、使用或保管甲方资产时，保证不贪污、不挪用、不故意损坏甲方资产；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3. 保证绝不向甲方员工行贿、不与甲方员工串通舞弊；</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4. 如甲方员工向乙方索取宴请、娱乐或其他贿赂（包括但不限于礼物、礼金、回扣、佣金等），或有直接或间接图利自己或其关系人或其指定人之行为者，乙方必须予以拒绝，并应于知悉后3日内向甲方检举，并提供相关证据。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5. 乙方若与甲方员工存在关联关系或利害关系时，应将事实向甲方负责人披露。 </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6. 乙方及所属员工出入甲方厂区须遵守到达时间、路线、处所要求，不录音、拍照或摄像，不窃取或夹带任何数据文件、甲方财产，不擅自延时、逗留或留宿，并接受甲方安全警卫监督检查。</w:t>
      </w:r>
    </w:p>
    <w:p>
      <w:pPr>
        <w:tabs>
          <w:tab w:val="left" w:pos="4975"/>
        </w:tabs>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7. 乙方承诺使其员工及其代理人遵守本承诺书之义务；如违反本承诺书所述任何义务，不论是否给甲方造成损失，乙方应首先向甲方支付违约金人民币20万元或近一年度与甲方交易总额之10%（取其较高者），并另行就甲方之实际损失承担赔偿责任，同时自愿永久放弃甲方合格供应商资格。因乙方违背上述承诺之过错，甲方有权无条件终止双方之间签订的合同、协议且不需要承担任何违约责任。乙方应付之违约金、赔偿金，甲方有权径行从应付乙方账款中抵扣，构成刑事犯罪的，甲方有权移送相关侦查部门处理。</w:t>
      </w:r>
    </w:p>
    <w:p>
      <w:pPr>
        <w:tabs>
          <w:tab w:val="left" w:pos="4975"/>
        </w:tabs>
        <w:spacing w:line="360" w:lineRule="auto"/>
        <w:rPr>
          <w:rFonts w:hint="eastAsia" w:ascii="宋体" w:hAnsi="宋体" w:cs="宋体"/>
          <w:b/>
          <w:color w:val="000000"/>
          <w:sz w:val="24"/>
          <w:szCs w:val="24"/>
        </w:rPr>
      </w:pPr>
      <w:r>
        <w:rPr>
          <w:rFonts w:hint="eastAsia" w:ascii="宋体" w:hAnsi="宋体" w:cs="宋体"/>
          <w:b/>
          <w:color w:val="000000"/>
          <w:sz w:val="24"/>
          <w:szCs w:val="24"/>
        </w:rPr>
        <w:t>八、其他事项</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1.在协议有效期内，经双方签字、盖章确认的修改方案及附件等均作为本协议的一部分，与本协议具有同等的法律效力。</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2.本合同履行中出现的争议，双方应通过友好协商的方式解决。如未能协商解决，可以向甲方所在地的人民法院提起诉讼。</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3.在本协议有效期内，任何一方不得单方面对本协议进行更改。经双方充分沟通并达成共识后，可经双方签字盖章后对本协议进行适当修改或重新签订。</w:t>
      </w:r>
    </w:p>
    <w:p>
      <w:pPr>
        <w:tabs>
          <w:tab w:val="left" w:pos="497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 本协议一式五份，甲方执三份，乙方执两份，具有同等法律效力。</w:t>
      </w:r>
    </w:p>
    <w:p>
      <w:pPr>
        <w:tabs>
          <w:tab w:val="left" w:pos="4975"/>
        </w:tabs>
        <w:spacing w:line="360" w:lineRule="auto"/>
        <w:ind w:firstLine="480" w:firstLineChars="200"/>
        <w:rPr>
          <w:rFonts w:hint="eastAsia" w:ascii="宋体" w:hAnsi="宋体" w:cs="宋体"/>
          <w:color w:val="000000"/>
          <w:sz w:val="24"/>
          <w:szCs w:val="24"/>
          <w:u w:val="thick"/>
        </w:rPr>
      </w:pPr>
      <w:r>
        <w:rPr>
          <w:rFonts w:hint="eastAsia" w:ascii="宋体" w:hAnsi="宋体" w:cs="宋体"/>
          <w:color w:val="000000"/>
          <w:sz w:val="24"/>
          <w:szCs w:val="24"/>
        </w:rPr>
        <w:t>5. 双方其他约定事项：</w:t>
      </w:r>
      <w:r>
        <w:rPr>
          <w:rFonts w:hint="eastAsia" w:ascii="宋体" w:hAnsi="宋体" w:cs="宋体"/>
          <w:color w:val="000000"/>
          <w:sz w:val="24"/>
          <w:szCs w:val="24"/>
          <w:u w:val="thick"/>
        </w:rPr>
        <w:t xml:space="preserve">                                                  </w:t>
      </w:r>
    </w:p>
    <w:p>
      <w:pPr>
        <w:tabs>
          <w:tab w:val="left" w:pos="4975"/>
        </w:tabs>
        <w:spacing w:line="360" w:lineRule="auto"/>
        <w:rPr>
          <w:rFonts w:ascii="宋体" w:hAnsi="宋体" w:cs="宋体"/>
          <w:color w:val="000000"/>
          <w:sz w:val="24"/>
          <w:szCs w:val="24"/>
          <w:u w:val="thick"/>
        </w:rPr>
      </w:pPr>
      <w:r>
        <w:rPr>
          <w:rFonts w:hint="eastAsia" w:ascii="宋体" w:hAnsi="宋体" w:cs="宋体"/>
          <w:color w:val="000000"/>
          <w:sz w:val="24"/>
          <w:szCs w:val="24"/>
          <w:u w:val="thick"/>
        </w:rPr>
        <w:br w:type="page"/>
      </w:r>
    </w:p>
    <w:p>
      <w:pPr>
        <w:tabs>
          <w:tab w:val="left" w:pos="4975"/>
        </w:tabs>
        <w:spacing w:line="360" w:lineRule="auto"/>
        <w:rPr>
          <w:rFonts w:ascii="宋体" w:hAnsi="宋体" w:cs="宋体"/>
          <w:color w:val="000000"/>
          <w:sz w:val="24"/>
          <w:szCs w:val="24"/>
          <w:u w:val="thick"/>
        </w:rPr>
      </w:pPr>
      <w:r>
        <w:rPr>
          <w:rFonts w:hint="eastAsia" w:ascii="宋体" w:hAnsi="宋体" w:cs="宋体"/>
          <w:color w:val="000000"/>
          <w:sz w:val="24"/>
          <w:szCs w:val="24"/>
          <w:u w:val="thick"/>
        </w:rPr>
        <w:t>（以下无正文为合同签章处）</w:t>
      </w:r>
    </w:p>
    <w:p>
      <w:pPr>
        <w:tabs>
          <w:tab w:val="left" w:pos="4975"/>
        </w:tabs>
        <w:spacing w:line="360" w:lineRule="auto"/>
        <w:rPr>
          <w:rFonts w:ascii="宋体" w:hAnsi="宋体" w:cs="宋体"/>
          <w:color w:val="000000"/>
          <w:sz w:val="24"/>
          <w:szCs w:val="24"/>
          <w:u w:val="thick"/>
        </w:rPr>
      </w:pPr>
    </w:p>
    <w:p>
      <w:pPr>
        <w:tabs>
          <w:tab w:val="left" w:pos="4975"/>
        </w:tabs>
        <w:spacing w:line="360" w:lineRule="auto"/>
        <w:rPr>
          <w:rFonts w:ascii="宋体" w:hAnsi="宋体" w:cs="宋体"/>
          <w:color w:val="000000"/>
          <w:sz w:val="24"/>
          <w:szCs w:val="24"/>
          <w:u w:val="thick"/>
        </w:rPr>
      </w:pPr>
      <w:r>
        <w:rPr>
          <w:rFonts w:hint="eastAsia" w:ascii="宋体" w:hAnsi="宋体" w:cs="宋体"/>
          <w:color w:val="000000"/>
          <w:sz w:val="24"/>
          <w:szCs w:val="24"/>
          <w:u w:val="thick"/>
        </w:rPr>
        <w:t>（以上无正文为合同签章处）</w:t>
      </w:r>
    </w:p>
    <w:tbl>
      <w:tblPr>
        <w:tblStyle w:val="1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1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甲方</w:t>
            </w:r>
          </w:p>
        </w:tc>
        <w:tc>
          <w:tcPr>
            <w:tcW w:w="4487"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2" w:hRule="atLeast"/>
        </w:trPr>
        <w:tc>
          <w:tcPr>
            <w:tcW w:w="4513" w:type="dxa"/>
            <w:noWrap w:val="0"/>
            <w:vAlign w:val="top"/>
          </w:tcPr>
          <w:p>
            <w:pPr>
              <w:spacing w:line="360" w:lineRule="auto"/>
              <w:rPr>
                <w:rFonts w:ascii="宋体" w:hAnsi="宋体" w:cs="宋体"/>
                <w:color w:val="000000"/>
                <w:sz w:val="24"/>
                <w:szCs w:val="24"/>
              </w:rPr>
            </w:pPr>
            <w:r>
              <w:rPr>
                <w:rFonts w:hint="eastAsia" w:ascii="宋体" w:hAnsi="宋体" w:cs="宋体"/>
                <w:color w:val="000000"/>
                <w:sz w:val="24"/>
                <w:szCs w:val="24"/>
              </w:rPr>
              <w:t>公司名称（盖章）：</w:t>
            </w:r>
          </w:p>
          <w:p>
            <w:pPr>
              <w:spacing w:line="360" w:lineRule="auto"/>
              <w:rPr>
                <w:rFonts w:ascii="宋体" w:hAnsi="宋体" w:cs="宋体"/>
                <w:color w:val="000000"/>
                <w:sz w:val="24"/>
                <w:szCs w:val="24"/>
              </w:rPr>
            </w:pPr>
            <w:r>
              <w:rPr>
                <w:rFonts w:hint="eastAsia" w:ascii="宋体" w:hAnsi="宋体" w:cs="宋体"/>
                <w:color w:val="000000"/>
                <w:sz w:val="24"/>
                <w:szCs w:val="24"/>
              </w:rPr>
              <w:t>地址：</w:t>
            </w:r>
          </w:p>
          <w:p>
            <w:pPr>
              <w:spacing w:line="360" w:lineRule="auto"/>
              <w:rPr>
                <w:rFonts w:hint="eastAsia" w:ascii="宋体" w:hAnsi="宋体" w:cs="宋体"/>
                <w:color w:val="000000"/>
                <w:sz w:val="24"/>
                <w:szCs w:val="24"/>
              </w:rPr>
            </w:pPr>
            <w:r>
              <w:rPr>
                <w:rFonts w:hint="eastAsia" w:ascii="宋体" w:hAnsi="宋体" w:cs="宋体"/>
                <w:color w:val="000000"/>
                <w:sz w:val="24"/>
                <w:szCs w:val="24"/>
              </w:rPr>
              <w:t>电话：</w:t>
            </w:r>
          </w:p>
          <w:p>
            <w:pPr>
              <w:spacing w:line="360" w:lineRule="auto"/>
              <w:rPr>
                <w:rFonts w:ascii="宋体" w:hAnsi="宋体" w:cs="宋体"/>
                <w:color w:val="000000"/>
                <w:sz w:val="24"/>
                <w:szCs w:val="24"/>
              </w:rPr>
            </w:pPr>
            <w:r>
              <w:rPr>
                <w:rFonts w:hint="eastAsia" w:ascii="宋体" w:hAnsi="宋体" w:cs="宋体"/>
                <w:color w:val="000000"/>
                <w:sz w:val="24"/>
                <w:szCs w:val="24"/>
              </w:rPr>
              <w:t>开户银行：</w:t>
            </w:r>
          </w:p>
          <w:p>
            <w:pPr>
              <w:spacing w:line="360" w:lineRule="auto"/>
              <w:rPr>
                <w:rFonts w:hint="eastAsia" w:ascii="宋体" w:hAnsi="宋体" w:cs="宋体"/>
                <w:color w:val="000000"/>
                <w:sz w:val="24"/>
                <w:szCs w:val="24"/>
              </w:rPr>
            </w:pPr>
            <w:r>
              <w:rPr>
                <w:rFonts w:hint="eastAsia" w:ascii="宋体" w:hAnsi="宋体" w:cs="宋体"/>
                <w:color w:val="000000"/>
                <w:sz w:val="24"/>
                <w:szCs w:val="24"/>
              </w:rPr>
              <w:t>账号：</w:t>
            </w:r>
          </w:p>
          <w:p>
            <w:pPr>
              <w:spacing w:line="360" w:lineRule="auto"/>
              <w:rPr>
                <w:rFonts w:ascii="宋体" w:hAnsi="宋体" w:cs="宋体"/>
                <w:color w:val="000000"/>
                <w:sz w:val="24"/>
                <w:szCs w:val="24"/>
              </w:rPr>
            </w:pPr>
            <w:r>
              <w:rPr>
                <w:rFonts w:hint="eastAsia" w:ascii="宋体" w:hAnsi="宋体" w:cs="宋体"/>
                <w:color w:val="000000"/>
                <w:sz w:val="24"/>
                <w:szCs w:val="24"/>
              </w:rPr>
              <w:t>税号：</w:t>
            </w:r>
          </w:p>
          <w:p>
            <w:pPr>
              <w:spacing w:line="360" w:lineRule="auto"/>
              <w:rPr>
                <w:rFonts w:ascii="宋体" w:hAnsi="宋体" w:cs="宋体"/>
                <w:color w:val="000000"/>
                <w:sz w:val="24"/>
                <w:szCs w:val="24"/>
              </w:rPr>
            </w:pPr>
            <w:r>
              <w:rPr>
                <w:rFonts w:hint="eastAsia" w:ascii="宋体" w:hAnsi="宋体" w:cs="宋体"/>
                <w:color w:val="000000"/>
                <w:sz w:val="24"/>
                <w:szCs w:val="24"/>
              </w:rPr>
              <w:t>签订日期：       年     月      日</w:t>
            </w:r>
          </w:p>
        </w:tc>
        <w:tc>
          <w:tcPr>
            <w:tcW w:w="4487"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color w:val="000000"/>
                <w:sz w:val="24"/>
                <w:szCs w:val="24"/>
              </w:rPr>
            </w:pPr>
            <w:r>
              <w:rPr>
                <w:rFonts w:hint="eastAsia" w:ascii="宋体" w:hAnsi="宋体" w:cs="宋体"/>
                <w:color w:val="000000"/>
                <w:sz w:val="24"/>
                <w:szCs w:val="24"/>
              </w:rPr>
              <w:t>签订日期：       年     月      日</w:t>
            </w:r>
          </w:p>
        </w:tc>
      </w:tr>
    </w:tbl>
    <w:p>
      <w:pPr>
        <w:ind w:firstLine="420" w:firstLineChars="200"/>
        <w:rPr>
          <w:rFonts w:ascii="宋体" w:hAnsi="宋体" w:cs="宋体"/>
          <w:szCs w:val="21"/>
        </w:rPr>
      </w:pPr>
    </w:p>
    <w:p>
      <w:pPr>
        <w:ind w:left="630"/>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adjustRightInd w:val="0"/>
        <w:snapToGrid w:val="0"/>
        <w:spacing w:line="360" w:lineRule="auto"/>
        <w:jc w:val="left"/>
        <w:outlineLvl w:val="0"/>
        <w:rPr>
          <w:rFonts w:hint="eastAsia" w:ascii="宋体" w:hAnsi="宋体" w:cs="宋体"/>
          <w:snapToGrid w:val="0"/>
          <w:spacing w:val="12"/>
          <w:kern w:val="0"/>
          <w:sz w:val="24"/>
          <w:szCs w:val="24"/>
        </w:rPr>
      </w:pPr>
      <w:r>
        <w:rPr>
          <w:rFonts w:hint="eastAsia" w:ascii="宋体" w:hAnsi="宋体" w:cs="宋体"/>
          <w:snapToGrid w:val="0"/>
          <w:spacing w:val="12"/>
          <w:kern w:val="0"/>
          <w:sz w:val="24"/>
          <w:szCs w:val="24"/>
        </w:rPr>
        <w:t>一、采购货品：</w:t>
      </w:r>
      <w:r>
        <w:rPr>
          <w:rFonts w:hint="eastAsia" w:ascii="宋体" w:hAnsi="宋体" w:cs="宋体"/>
          <w:bCs/>
          <w:snapToGrid w:val="0"/>
          <w:spacing w:val="12"/>
          <w:kern w:val="0"/>
          <w:sz w:val="24"/>
          <w:szCs w:val="24"/>
        </w:rPr>
        <w:t>镀锌铁皮</w:t>
      </w:r>
    </w:p>
    <w:p>
      <w:pPr>
        <w:adjustRightInd w:val="0"/>
        <w:snapToGrid w:val="0"/>
        <w:spacing w:line="360" w:lineRule="auto"/>
        <w:outlineLvl w:val="0"/>
        <w:rPr>
          <w:rFonts w:ascii="宋体" w:hAnsi="宋体" w:cs="宋体"/>
          <w:bCs/>
          <w:snapToGrid w:val="0"/>
          <w:spacing w:val="12"/>
          <w:kern w:val="0"/>
          <w:sz w:val="24"/>
          <w:szCs w:val="24"/>
        </w:rPr>
      </w:pPr>
      <w:r>
        <w:rPr>
          <w:rFonts w:hint="eastAsia" w:ascii="宋体" w:hAnsi="宋体" w:cs="宋体"/>
          <w:bCs/>
          <w:snapToGrid w:val="0"/>
          <w:spacing w:val="12"/>
          <w:kern w:val="0"/>
          <w:sz w:val="24"/>
          <w:szCs w:val="24"/>
        </w:rPr>
        <w:t>二、质量要求：符合GB/T2515-2008标准</w:t>
      </w:r>
    </w:p>
    <w:p>
      <w:pPr>
        <w:adjustRightInd w:val="0"/>
        <w:snapToGrid w:val="0"/>
        <w:spacing w:line="360" w:lineRule="auto"/>
        <w:outlineLvl w:val="0"/>
        <w:rPr>
          <w:rFonts w:hint="eastAsia" w:ascii="宋体" w:hAnsi="宋体" w:cs="宋体"/>
          <w:bCs/>
          <w:snapToGrid w:val="0"/>
          <w:spacing w:val="12"/>
          <w:kern w:val="0"/>
          <w:sz w:val="24"/>
          <w:szCs w:val="24"/>
        </w:rPr>
      </w:pPr>
      <w:r>
        <w:rPr>
          <w:rFonts w:hint="eastAsia" w:ascii="宋体" w:hAnsi="宋体" w:cs="宋体"/>
          <w:bCs/>
          <w:snapToGrid w:val="0"/>
          <w:spacing w:val="12"/>
          <w:kern w:val="0"/>
          <w:sz w:val="24"/>
          <w:szCs w:val="24"/>
        </w:rPr>
        <w:t>三、质保期：1年</w:t>
      </w:r>
    </w:p>
    <w:p>
      <w:pPr>
        <w:adjustRightInd w:val="0"/>
        <w:snapToGrid w:val="0"/>
        <w:spacing w:line="360" w:lineRule="auto"/>
        <w:jc w:val="left"/>
        <w:outlineLvl w:val="0"/>
        <w:rPr>
          <w:rFonts w:hint="eastAsia" w:ascii="宋体" w:hAnsi="宋体" w:cs="宋体"/>
          <w:snapToGrid w:val="0"/>
          <w:spacing w:val="12"/>
          <w:kern w:val="0"/>
          <w:sz w:val="24"/>
          <w:szCs w:val="24"/>
        </w:rPr>
      </w:pPr>
      <w:r>
        <w:rPr>
          <w:rFonts w:hint="eastAsia" w:ascii="宋体" w:hAnsi="宋体" w:cs="宋体"/>
          <w:snapToGrid w:val="0"/>
          <w:spacing w:val="12"/>
          <w:kern w:val="0"/>
          <w:sz w:val="24"/>
          <w:szCs w:val="24"/>
        </w:rPr>
        <w:t>四、技术要求：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执行标准GB/T2515-2008《连续热镀锌钢板及钢带》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材质为冷轧镀锌板，板宽137mm（当加工板厚为1.1-1.2mm时，板宽则为140mm），代号一般为DC51D+Z,DX51D+Z,SGCC</w:t>
      </w:r>
    </w:p>
    <w:p>
      <w:pPr>
        <w:adjustRightInd w:val="0"/>
        <w:snapToGrid w:val="0"/>
        <w:spacing w:line="360" w:lineRule="auto"/>
        <w:outlineLvl w:val="0"/>
        <w:rPr>
          <w:rFonts w:hint="eastAsia" w:ascii="宋体" w:hAnsi="宋体" w:cs="宋体"/>
          <w:snapToGrid w:val="0"/>
          <w:spacing w:val="12"/>
          <w:kern w:val="0"/>
          <w:sz w:val="24"/>
          <w:szCs w:val="24"/>
        </w:rPr>
      </w:pPr>
      <w:r>
        <w:rPr>
          <w:rFonts w:hint="eastAsia" w:ascii="宋体" w:hAnsi="宋体" w:cs="宋体"/>
          <w:sz w:val="24"/>
          <w:szCs w:val="24"/>
        </w:rPr>
        <w:t>镀锌卷料内外直径见下图</w:t>
      </w:r>
    </w:p>
    <w:p>
      <w:pPr>
        <w:spacing w:line="560" w:lineRule="exact"/>
        <w:ind w:firstLine="480" w:firstLineChars="200"/>
        <w:rPr>
          <w:rFonts w:hint="eastAsia" w:ascii="宋体" w:hAnsi="宋体" w:cs="宋体"/>
          <w:sz w:val="24"/>
          <w:szCs w:val="24"/>
        </w:rPr>
      </w:pPr>
    </w:p>
    <w:p>
      <w:pPr>
        <w:adjustRightInd w:val="0"/>
        <w:snapToGrid w:val="0"/>
        <w:spacing w:line="360" w:lineRule="auto"/>
        <w:jc w:val="center"/>
        <w:outlineLvl w:val="0"/>
        <w:rPr>
          <w:rFonts w:hint="eastAsia" w:ascii="宋体" w:hAnsi="宋体" w:cs="宋体"/>
          <w:snapToGrid w:val="0"/>
          <w:spacing w:val="12"/>
          <w:kern w:val="0"/>
          <w:sz w:val="24"/>
          <w:szCs w:val="24"/>
        </w:rPr>
      </w:pPr>
      <w:r>
        <w:rPr>
          <w:rFonts w:hint="eastAsia"/>
        </w:rPr>
        <w:drawing>
          <wp:inline distT="0" distB="0" distL="114300" distR="114300">
            <wp:extent cx="2571115" cy="3782060"/>
            <wp:effectExtent l="0" t="0" r="635" b="8890"/>
            <wp:docPr id="2" name="图片 1" descr="51f1631d3be45965ea12323eaa1e442"/>
            <wp:cNvGraphicFramePr/>
            <a:graphic xmlns:a="http://schemas.openxmlformats.org/drawingml/2006/main">
              <a:graphicData uri="http://schemas.openxmlformats.org/drawingml/2006/picture">
                <pic:pic xmlns:pic="http://schemas.openxmlformats.org/drawingml/2006/picture">
                  <pic:nvPicPr>
                    <pic:cNvPr id="2" name="图片 1" descr="51f1631d3be45965ea12323eaa1e442"/>
                    <pic:cNvPicPr/>
                  </pic:nvPicPr>
                  <pic:blipFill>
                    <a:blip r:embed="rId13"/>
                    <a:stretch>
                      <a:fillRect/>
                    </a:stretch>
                  </pic:blipFill>
                  <pic:spPr>
                    <a:xfrm>
                      <a:off x="0" y="0"/>
                      <a:ext cx="2571115" cy="3782060"/>
                    </a:xfrm>
                    <a:prstGeom prst="rect">
                      <a:avLst/>
                    </a:prstGeom>
                    <a:noFill/>
                    <a:ln>
                      <a:noFill/>
                    </a:ln>
                  </pic:spPr>
                </pic:pic>
              </a:graphicData>
            </a:graphic>
          </wp:inline>
        </w:drawing>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textAlignment w:val="auto"/>
        <w:rPr>
          <w:rFonts w:hint="eastAsia" w:asciiTheme="minorEastAsia" w:hAnsiTheme="minorEastAsia" w:eastAsiaTheme="minorEastAsia" w:cstheme="minorEastAsia"/>
          <w:kern w:val="2"/>
          <w:sz w:val="24"/>
          <w:szCs w:val="24"/>
          <w:lang w:val="en-US" w:eastAsia="zh-CN" w:bidi="ar-SA"/>
        </w:rPr>
      </w:pPr>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0"/>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F5CAD00E"/>
    <w:multiLevelType w:val="singleLevel"/>
    <w:tmpl w:val="F5CAD00E"/>
    <w:lvl w:ilvl="0" w:tentative="0">
      <w:start w:val="4"/>
      <w:numFmt w:val="chineseCounting"/>
      <w:suff w:val="space"/>
      <w:lvlText w:val="第%1章"/>
      <w:lvlJc w:val="left"/>
      <w:rPr>
        <w:rFonts w:hint="eastAsia"/>
      </w:rPr>
    </w:lvl>
  </w:abstractNum>
  <w:abstractNum w:abstractNumId="2">
    <w:nsid w:val="066E75A4"/>
    <w:multiLevelType w:val="singleLevel"/>
    <w:tmpl w:val="066E75A4"/>
    <w:lvl w:ilvl="0" w:tentative="0">
      <w:start w:val="1"/>
      <w:numFmt w:val="decimal"/>
      <w:lvlText w:val="%1."/>
      <w:lvlJc w:val="left"/>
      <w:pPr>
        <w:tabs>
          <w:tab w:val="left" w:pos="312"/>
        </w:tabs>
      </w:pPr>
    </w:lvl>
  </w:abstractNum>
  <w:abstractNum w:abstractNumId="3">
    <w:nsid w:val="3006411B"/>
    <w:multiLevelType w:val="singleLevel"/>
    <w:tmpl w:val="3006411B"/>
    <w:lvl w:ilvl="0" w:tentative="0">
      <w:start w:val="3"/>
      <w:numFmt w:val="decimal"/>
      <w:suff w:val="nothing"/>
      <w:lvlText w:val="%1、"/>
      <w:lvlJc w:val="left"/>
    </w:lvl>
  </w:abstractNum>
  <w:abstractNum w:abstractNumId="4">
    <w:nsid w:val="32D6CD51"/>
    <w:multiLevelType w:val="singleLevel"/>
    <w:tmpl w:val="32D6CD51"/>
    <w:lvl w:ilvl="0" w:tentative="0">
      <w:start w:val="1"/>
      <w:numFmt w:val="decimal"/>
      <w:lvlText w:val="%1."/>
      <w:lvlJc w:val="left"/>
      <w:pPr>
        <w:ind w:left="860" w:hanging="425"/>
      </w:pPr>
      <w:rPr>
        <w:rFonts w:hint="default"/>
      </w:rPr>
    </w:lvl>
  </w:abstractNum>
  <w:abstractNum w:abstractNumId="5">
    <w:nsid w:val="4056E28F"/>
    <w:multiLevelType w:val="singleLevel"/>
    <w:tmpl w:val="4056E28F"/>
    <w:lvl w:ilvl="0" w:tentative="0">
      <w:start w:val="1"/>
      <w:numFmt w:val="decimal"/>
      <w:lvlText w:val="%1."/>
      <w:lvlJc w:val="left"/>
      <w:pPr>
        <w:ind w:left="425" w:hanging="425"/>
      </w:pPr>
      <w:rPr>
        <w:rFonts w:hint="default"/>
      </w:rPr>
    </w:lvl>
  </w:abstractNum>
  <w:abstractNum w:abstractNumId="6">
    <w:nsid w:val="5F2D43BB"/>
    <w:multiLevelType w:val="singleLevel"/>
    <w:tmpl w:val="5F2D43BB"/>
    <w:lvl w:ilvl="0" w:tentative="0">
      <w:start w:val="1"/>
      <w:numFmt w:val="decimal"/>
      <w:suff w:val="nothing"/>
      <w:lvlText w:val="%1、"/>
      <w:lvlJc w:val="left"/>
    </w:lvl>
  </w:abstractNum>
  <w:abstractNum w:abstractNumId="7">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NjNWE4NGE0YWUwYjgxZTc3YjEyZDlhY2FlNjg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4428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D31873"/>
    <w:rsid w:val="020731DC"/>
    <w:rsid w:val="02D955E5"/>
    <w:rsid w:val="03FF60FC"/>
    <w:rsid w:val="04127858"/>
    <w:rsid w:val="04701136"/>
    <w:rsid w:val="04892F2B"/>
    <w:rsid w:val="04D8029D"/>
    <w:rsid w:val="04FD5E3E"/>
    <w:rsid w:val="083A2978"/>
    <w:rsid w:val="08DC1FFB"/>
    <w:rsid w:val="097D3D5F"/>
    <w:rsid w:val="0CAE02B5"/>
    <w:rsid w:val="0E304ADA"/>
    <w:rsid w:val="0EB63A2E"/>
    <w:rsid w:val="0F87147A"/>
    <w:rsid w:val="0F883150"/>
    <w:rsid w:val="0FB745FC"/>
    <w:rsid w:val="1092654A"/>
    <w:rsid w:val="119471B2"/>
    <w:rsid w:val="11F76665"/>
    <w:rsid w:val="1289790B"/>
    <w:rsid w:val="12A10CC7"/>
    <w:rsid w:val="12A81D6D"/>
    <w:rsid w:val="137BF07C"/>
    <w:rsid w:val="140C03C2"/>
    <w:rsid w:val="14290D9E"/>
    <w:rsid w:val="14D1667B"/>
    <w:rsid w:val="153B0F5F"/>
    <w:rsid w:val="153B4ABB"/>
    <w:rsid w:val="1585667E"/>
    <w:rsid w:val="15D42316"/>
    <w:rsid w:val="18B6426E"/>
    <w:rsid w:val="18C80D5B"/>
    <w:rsid w:val="1AC838A7"/>
    <w:rsid w:val="1C354A01"/>
    <w:rsid w:val="1CC37203"/>
    <w:rsid w:val="1E144C1C"/>
    <w:rsid w:val="1E8D4C83"/>
    <w:rsid w:val="1F450FFF"/>
    <w:rsid w:val="1FAB4F33"/>
    <w:rsid w:val="1FB566CE"/>
    <w:rsid w:val="1FE50445"/>
    <w:rsid w:val="20307BC1"/>
    <w:rsid w:val="216E6218"/>
    <w:rsid w:val="21D1386D"/>
    <w:rsid w:val="222039B6"/>
    <w:rsid w:val="22346EEE"/>
    <w:rsid w:val="23590843"/>
    <w:rsid w:val="24015121"/>
    <w:rsid w:val="24094BFE"/>
    <w:rsid w:val="248D4DE8"/>
    <w:rsid w:val="24A97335"/>
    <w:rsid w:val="25891597"/>
    <w:rsid w:val="25F211C5"/>
    <w:rsid w:val="25F82554"/>
    <w:rsid w:val="267365FD"/>
    <w:rsid w:val="27644D65"/>
    <w:rsid w:val="2859377E"/>
    <w:rsid w:val="290A5ABA"/>
    <w:rsid w:val="296C1DF9"/>
    <w:rsid w:val="2AEA4B61"/>
    <w:rsid w:val="2BE07A80"/>
    <w:rsid w:val="2C271DE5"/>
    <w:rsid w:val="2D97159C"/>
    <w:rsid w:val="2F7D3007"/>
    <w:rsid w:val="2F8C30E8"/>
    <w:rsid w:val="300F023C"/>
    <w:rsid w:val="308275EA"/>
    <w:rsid w:val="30BE40BD"/>
    <w:rsid w:val="31996BAE"/>
    <w:rsid w:val="32AA1C95"/>
    <w:rsid w:val="32CB3539"/>
    <w:rsid w:val="33557238"/>
    <w:rsid w:val="33CC5559"/>
    <w:rsid w:val="344C0631"/>
    <w:rsid w:val="34662FF8"/>
    <w:rsid w:val="34B37CAB"/>
    <w:rsid w:val="35100256"/>
    <w:rsid w:val="35EF74CF"/>
    <w:rsid w:val="36372C24"/>
    <w:rsid w:val="363D4628"/>
    <w:rsid w:val="36710922"/>
    <w:rsid w:val="36D26910"/>
    <w:rsid w:val="371B6F99"/>
    <w:rsid w:val="372204BF"/>
    <w:rsid w:val="38BD08E9"/>
    <w:rsid w:val="397D137C"/>
    <w:rsid w:val="39F20E60"/>
    <w:rsid w:val="3A2D5F80"/>
    <w:rsid w:val="3B775D40"/>
    <w:rsid w:val="3C7839FF"/>
    <w:rsid w:val="3CA74F02"/>
    <w:rsid w:val="3CBF4E5C"/>
    <w:rsid w:val="3D162188"/>
    <w:rsid w:val="3D3430C2"/>
    <w:rsid w:val="3D9F343D"/>
    <w:rsid w:val="3E4660FB"/>
    <w:rsid w:val="3EFE4C27"/>
    <w:rsid w:val="3F6F51DD"/>
    <w:rsid w:val="40BA7899"/>
    <w:rsid w:val="43E53CC0"/>
    <w:rsid w:val="44660096"/>
    <w:rsid w:val="446E63AB"/>
    <w:rsid w:val="4487121B"/>
    <w:rsid w:val="45937CFA"/>
    <w:rsid w:val="45A1630C"/>
    <w:rsid w:val="45C527AC"/>
    <w:rsid w:val="46433319"/>
    <w:rsid w:val="46465AC3"/>
    <w:rsid w:val="464C0026"/>
    <w:rsid w:val="46B06618"/>
    <w:rsid w:val="4782073F"/>
    <w:rsid w:val="47AB01B7"/>
    <w:rsid w:val="47E10C42"/>
    <w:rsid w:val="47FF50F1"/>
    <w:rsid w:val="48C23E92"/>
    <w:rsid w:val="49F006F7"/>
    <w:rsid w:val="4A421E6C"/>
    <w:rsid w:val="4A6E0EB3"/>
    <w:rsid w:val="4AA417BD"/>
    <w:rsid w:val="4B7D0C82"/>
    <w:rsid w:val="4BB53BEA"/>
    <w:rsid w:val="4BC45849"/>
    <w:rsid w:val="4C560EC1"/>
    <w:rsid w:val="4CC052CA"/>
    <w:rsid w:val="4CC851EC"/>
    <w:rsid w:val="4D0E24D9"/>
    <w:rsid w:val="4D2E0CD4"/>
    <w:rsid w:val="4EC15FDB"/>
    <w:rsid w:val="4F3A75B6"/>
    <w:rsid w:val="4F602735"/>
    <w:rsid w:val="4F71227D"/>
    <w:rsid w:val="508F121B"/>
    <w:rsid w:val="50967764"/>
    <w:rsid w:val="509727B9"/>
    <w:rsid w:val="50BE7D72"/>
    <w:rsid w:val="520B4735"/>
    <w:rsid w:val="52AC36DD"/>
    <w:rsid w:val="53D54120"/>
    <w:rsid w:val="541C1980"/>
    <w:rsid w:val="54350768"/>
    <w:rsid w:val="544A2FED"/>
    <w:rsid w:val="54924423"/>
    <w:rsid w:val="54A656ED"/>
    <w:rsid w:val="55262802"/>
    <w:rsid w:val="56B11CB7"/>
    <w:rsid w:val="56BC4F7B"/>
    <w:rsid w:val="588D4BFA"/>
    <w:rsid w:val="58C467C8"/>
    <w:rsid w:val="59030A18"/>
    <w:rsid w:val="591250FF"/>
    <w:rsid w:val="59486D73"/>
    <w:rsid w:val="59A85A64"/>
    <w:rsid w:val="59C108F0"/>
    <w:rsid w:val="59C12924"/>
    <w:rsid w:val="59E131CC"/>
    <w:rsid w:val="5A0F7891"/>
    <w:rsid w:val="5A8B75CF"/>
    <w:rsid w:val="5B81031A"/>
    <w:rsid w:val="5CFD1C22"/>
    <w:rsid w:val="5D403AC8"/>
    <w:rsid w:val="5F1A0A04"/>
    <w:rsid w:val="5F93686E"/>
    <w:rsid w:val="60F6689E"/>
    <w:rsid w:val="613A012A"/>
    <w:rsid w:val="623228BC"/>
    <w:rsid w:val="624D53FA"/>
    <w:rsid w:val="63586960"/>
    <w:rsid w:val="63B34D45"/>
    <w:rsid w:val="64A54015"/>
    <w:rsid w:val="64DC3159"/>
    <w:rsid w:val="66BF23A1"/>
    <w:rsid w:val="66FA420B"/>
    <w:rsid w:val="675B5EC3"/>
    <w:rsid w:val="678B27A2"/>
    <w:rsid w:val="679F4002"/>
    <w:rsid w:val="68D53E8D"/>
    <w:rsid w:val="68EB48CE"/>
    <w:rsid w:val="69E7542F"/>
    <w:rsid w:val="6B363925"/>
    <w:rsid w:val="6BA816D2"/>
    <w:rsid w:val="6C177875"/>
    <w:rsid w:val="6C705F6D"/>
    <w:rsid w:val="6D871122"/>
    <w:rsid w:val="6D9739CD"/>
    <w:rsid w:val="6EA41CD0"/>
    <w:rsid w:val="70555792"/>
    <w:rsid w:val="707E49A4"/>
    <w:rsid w:val="70FE7B84"/>
    <w:rsid w:val="71F118FE"/>
    <w:rsid w:val="71FB20AE"/>
    <w:rsid w:val="720B6B28"/>
    <w:rsid w:val="721A68AE"/>
    <w:rsid w:val="727C48B8"/>
    <w:rsid w:val="73A35DE6"/>
    <w:rsid w:val="73FE0D25"/>
    <w:rsid w:val="75644FAA"/>
    <w:rsid w:val="75714743"/>
    <w:rsid w:val="75B82DB7"/>
    <w:rsid w:val="76645F5E"/>
    <w:rsid w:val="76DF1945"/>
    <w:rsid w:val="76E8221B"/>
    <w:rsid w:val="774424D0"/>
    <w:rsid w:val="78B521C3"/>
    <w:rsid w:val="78D65AB4"/>
    <w:rsid w:val="790E2F8B"/>
    <w:rsid w:val="79206D02"/>
    <w:rsid w:val="797B6E5B"/>
    <w:rsid w:val="79D044EF"/>
    <w:rsid w:val="7A6FF8BB"/>
    <w:rsid w:val="7AD074B2"/>
    <w:rsid w:val="7B0A609B"/>
    <w:rsid w:val="7B7008F9"/>
    <w:rsid w:val="7B907A76"/>
    <w:rsid w:val="7BAE6AB2"/>
    <w:rsid w:val="7C703D67"/>
    <w:rsid w:val="7D692C90"/>
    <w:rsid w:val="7E7D09B1"/>
    <w:rsid w:val="7EDF6F54"/>
    <w:rsid w:val="7EE12CFA"/>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54"/>
    <w:autoRedefine/>
    <w:semiHidden/>
    <w:unhideWhenUsed/>
    <w:qFormat/>
    <w:uiPriority w:val="0"/>
    <w:pPr>
      <w:jc w:val="left"/>
    </w:pPr>
  </w:style>
  <w:style w:type="paragraph" w:styleId="6">
    <w:name w:val="Body Text"/>
    <w:basedOn w:val="1"/>
    <w:link w:val="29"/>
    <w:autoRedefine/>
    <w:qFormat/>
    <w:uiPriority w:val="0"/>
    <w:pPr>
      <w:jc w:val="center"/>
      <w:outlineLvl w:val="0"/>
    </w:pPr>
    <w:rPr>
      <w:rFonts w:ascii="宋体"/>
      <w:b/>
      <w:sz w:val="44"/>
    </w:rPr>
  </w:style>
  <w:style w:type="paragraph" w:styleId="7">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link w:val="30"/>
    <w:autoRedefine/>
    <w:qFormat/>
    <w:uiPriority w:val="0"/>
    <w:rPr>
      <w:rFonts w:ascii="宋体" w:hAnsi="Courier New"/>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39"/>
    <w:pPr>
      <w:ind w:left="210"/>
      <w:jc w:val="left"/>
    </w:pPr>
    <w:rPr>
      <w:i/>
      <w:iCs/>
      <w:sz w:val="20"/>
      <w:szCs w:val="24"/>
    </w:rPr>
  </w:style>
  <w:style w:type="paragraph" w:styleId="12">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3">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55"/>
    <w:autoRedefine/>
    <w:qFormat/>
    <w:uiPriority w:val="0"/>
    <w:rPr>
      <w:rFonts w:ascii="Times New Roman" w:hAnsi="Times New Roman" w:cs="Times New Roman"/>
      <w:szCs w:val="20"/>
    </w:rPr>
  </w:style>
  <w:style w:type="paragraph" w:styleId="15">
    <w:name w:val="Body Text First Indent"/>
    <w:basedOn w:val="6"/>
    <w:autoRedefine/>
    <w:qFormat/>
    <w:uiPriority w:val="0"/>
    <w:pPr>
      <w:spacing w:line="360" w:lineRule="auto"/>
      <w:ind w:firstLine="309" w:firstLineChars="100"/>
    </w:pPr>
    <w:rPr>
      <w:bCs/>
      <w:color w:val="000000"/>
      <w:kern w:val="28"/>
      <w:szCs w:val="21"/>
    </w:rPr>
  </w:style>
  <w:style w:type="paragraph" w:styleId="16">
    <w:name w:val="Body Text First Indent 2"/>
    <w:basedOn w:val="7"/>
    <w:next w:val="1"/>
    <w:autoRedefine/>
    <w:qFormat/>
    <w:uiPriority w:val="0"/>
    <w:pPr>
      <w:tabs>
        <w:tab w:val="left" w:pos="8280"/>
      </w:tabs>
      <w:ind w:firstLine="420" w:firstLineChars="200"/>
    </w:pPr>
    <w:rPr>
      <w:rFonts w:ascii="Times New Roman" w:hAnsi="Times New Roman"/>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Emphasis"/>
    <w:basedOn w:val="19"/>
    <w:autoRedefine/>
    <w:qFormat/>
    <w:uiPriority w:val="20"/>
    <w:rPr>
      <w:i/>
      <w:iCs/>
    </w:rPr>
  </w:style>
  <w:style w:type="paragraph" w:customStyle="1" w:styleId="23">
    <w:name w:val="表格文字"/>
    <w:basedOn w:val="1"/>
    <w:next w:val="6"/>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4">
    <w:name w:val="_Style 2"/>
    <w:basedOn w:val="1"/>
    <w:next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19"/>
    <w:link w:val="10"/>
    <w:autoRedefine/>
    <w:qFormat/>
    <w:uiPriority w:val="99"/>
    <w:rPr>
      <w:sz w:val="18"/>
      <w:szCs w:val="18"/>
    </w:rPr>
  </w:style>
  <w:style w:type="character" w:customStyle="1" w:styleId="27">
    <w:name w:val="页脚 字符"/>
    <w:basedOn w:val="19"/>
    <w:link w:val="9"/>
    <w:autoRedefine/>
    <w:qFormat/>
    <w:uiPriority w:val="99"/>
    <w:rPr>
      <w:sz w:val="18"/>
      <w:szCs w:val="18"/>
    </w:rPr>
  </w:style>
  <w:style w:type="character" w:customStyle="1" w:styleId="28">
    <w:name w:val="正文文本 Char"/>
    <w:basedOn w:val="19"/>
    <w:autoRedefine/>
    <w:qFormat/>
    <w:uiPriority w:val="0"/>
    <w:rPr>
      <w:rFonts w:ascii="宋体" w:eastAsia="宋体"/>
      <w:b/>
      <w:sz w:val="44"/>
    </w:rPr>
  </w:style>
  <w:style w:type="character" w:customStyle="1" w:styleId="29">
    <w:name w:val="正文文本 字符"/>
    <w:basedOn w:val="19"/>
    <w:link w:val="6"/>
    <w:autoRedefine/>
    <w:qFormat/>
    <w:uiPriority w:val="99"/>
  </w:style>
  <w:style w:type="character" w:customStyle="1" w:styleId="30">
    <w:name w:val="纯文本 字符"/>
    <w:basedOn w:val="19"/>
    <w:link w:val="8"/>
    <w:autoRedefine/>
    <w:qFormat/>
    <w:uiPriority w:val="99"/>
    <w:rPr>
      <w:rFonts w:ascii="宋体" w:hAnsi="Courier New" w:eastAsia="宋体"/>
    </w:rPr>
  </w:style>
  <w:style w:type="paragraph" w:styleId="31">
    <w:name w:val="List Paragraph"/>
    <w:basedOn w:val="1"/>
    <w:autoRedefine/>
    <w:qFormat/>
    <w:uiPriority w:val="34"/>
    <w:pPr>
      <w:ind w:firstLine="420" w:firstLineChars="200"/>
    </w:pPr>
  </w:style>
  <w:style w:type="paragraph" w:customStyle="1" w:styleId="32">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autoRedefine/>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autoRedefine/>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19"/>
    <w:autoRedefine/>
    <w:qFormat/>
    <w:uiPriority w:val="0"/>
    <w:rPr>
      <w:rFonts w:hint="default" w:ascii="MS Sans Serif" w:hAnsi="MS Sans Serif" w:eastAsia="MS Sans Serif" w:cs="MS Sans Serif"/>
      <w:color w:val="000000"/>
      <w:sz w:val="20"/>
      <w:szCs w:val="20"/>
      <w:u w:val="none"/>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paragraph" w:styleId="38">
    <w:name w:val="Intense Quote"/>
    <w:basedOn w:val="1"/>
    <w:next w:val="1"/>
    <w:autoRedefine/>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19"/>
    <w:autoRedefine/>
    <w:qFormat/>
    <w:uiPriority w:val="0"/>
    <w:rPr>
      <w:rFonts w:hint="eastAsia" w:ascii="宋体" w:hAnsi="宋体" w:eastAsia="宋体" w:cs="宋体"/>
      <w:b/>
      <w:bCs/>
      <w:color w:val="000000"/>
      <w:sz w:val="20"/>
      <w:szCs w:val="20"/>
      <w:u w:val="none"/>
    </w:rPr>
  </w:style>
  <w:style w:type="character" w:customStyle="1" w:styleId="40">
    <w:name w:val="font81"/>
    <w:basedOn w:val="19"/>
    <w:autoRedefine/>
    <w:qFormat/>
    <w:uiPriority w:val="0"/>
    <w:rPr>
      <w:rFonts w:hint="eastAsia" w:ascii="宋体" w:hAnsi="宋体" w:eastAsia="宋体" w:cs="宋体"/>
      <w:color w:val="000000"/>
      <w:sz w:val="20"/>
      <w:szCs w:val="20"/>
      <w:u w:val="none"/>
    </w:rPr>
  </w:style>
  <w:style w:type="character" w:customStyle="1" w:styleId="41">
    <w:name w:val="font41"/>
    <w:basedOn w:val="19"/>
    <w:autoRedefine/>
    <w:qFormat/>
    <w:uiPriority w:val="0"/>
    <w:rPr>
      <w:rFonts w:hint="default" w:ascii="Times New Roman" w:hAnsi="Times New Roman" w:cs="Times New Roman"/>
      <w:color w:val="000000"/>
      <w:sz w:val="20"/>
      <w:szCs w:val="20"/>
      <w:u w:val="none"/>
    </w:rPr>
  </w:style>
  <w:style w:type="character" w:customStyle="1" w:styleId="42">
    <w:name w:val="font112"/>
    <w:basedOn w:val="19"/>
    <w:autoRedefine/>
    <w:qFormat/>
    <w:uiPriority w:val="0"/>
    <w:rPr>
      <w:rFonts w:hint="eastAsia" w:ascii="宋体" w:hAnsi="宋体" w:eastAsia="宋体" w:cs="宋体"/>
      <w:color w:val="000000"/>
      <w:sz w:val="20"/>
      <w:szCs w:val="20"/>
      <w:u w:val="none"/>
    </w:rPr>
  </w:style>
  <w:style w:type="character" w:customStyle="1" w:styleId="43">
    <w:name w:val="font61"/>
    <w:basedOn w:val="19"/>
    <w:autoRedefine/>
    <w:qFormat/>
    <w:uiPriority w:val="0"/>
    <w:rPr>
      <w:rFonts w:hint="default" w:ascii="Times New Roman" w:hAnsi="Times New Roman" w:cs="Times New Roman"/>
      <w:color w:val="000000"/>
      <w:sz w:val="20"/>
      <w:szCs w:val="20"/>
      <w:u w:val="none"/>
    </w:rPr>
  </w:style>
  <w:style w:type="character" w:customStyle="1" w:styleId="44">
    <w:name w:val="font21"/>
    <w:basedOn w:val="19"/>
    <w:autoRedefine/>
    <w:qFormat/>
    <w:uiPriority w:val="0"/>
    <w:rPr>
      <w:rFonts w:hint="default" w:ascii="Times New Roman" w:hAnsi="Times New Roman" w:cs="Times New Roman"/>
      <w:color w:val="000000"/>
      <w:sz w:val="20"/>
      <w:szCs w:val="20"/>
      <w:u w:val="none"/>
    </w:rPr>
  </w:style>
  <w:style w:type="character" w:customStyle="1" w:styleId="45">
    <w:name w:val="font51"/>
    <w:basedOn w:val="19"/>
    <w:autoRedefine/>
    <w:qFormat/>
    <w:uiPriority w:val="0"/>
    <w:rPr>
      <w:rFonts w:hint="default" w:ascii="Times New Roman" w:hAnsi="Times New Roman" w:cs="Times New Roman"/>
      <w:b/>
      <w:bCs/>
      <w:color w:val="000000"/>
      <w:sz w:val="20"/>
      <w:szCs w:val="20"/>
      <w:u w:val="none"/>
    </w:rPr>
  </w:style>
  <w:style w:type="character" w:customStyle="1" w:styleId="46">
    <w:name w:val="font121"/>
    <w:basedOn w:val="19"/>
    <w:autoRedefine/>
    <w:qFormat/>
    <w:uiPriority w:val="0"/>
    <w:rPr>
      <w:rFonts w:hint="eastAsia" w:ascii="宋体" w:hAnsi="宋体" w:eastAsia="宋体" w:cs="宋体"/>
      <w:color w:val="0D0D0D"/>
      <w:sz w:val="20"/>
      <w:szCs w:val="20"/>
      <w:u w:val="none"/>
    </w:rPr>
  </w:style>
  <w:style w:type="character" w:customStyle="1" w:styleId="47">
    <w:name w:val="font71"/>
    <w:basedOn w:val="19"/>
    <w:autoRedefine/>
    <w:qFormat/>
    <w:uiPriority w:val="0"/>
    <w:rPr>
      <w:rFonts w:hint="default" w:ascii="Times New Roman" w:hAnsi="Times New Roman" w:cs="Times New Roman"/>
      <w:color w:val="0D0D0D"/>
      <w:sz w:val="20"/>
      <w:szCs w:val="20"/>
      <w:u w:val="none"/>
    </w:rPr>
  </w:style>
  <w:style w:type="paragraph" w:customStyle="1" w:styleId="48">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49">
    <w:name w:val="标题 2 Char Char"/>
    <w:autoRedefine/>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19"/>
    <w:autoRedefine/>
    <w:qFormat/>
    <w:uiPriority w:val="0"/>
    <w:rPr>
      <w:rFonts w:hint="eastAsia" w:ascii="宋体" w:hAnsi="宋体" w:eastAsia="宋体" w:cs="宋体"/>
      <w:color w:val="000000"/>
      <w:sz w:val="20"/>
      <w:szCs w:val="20"/>
      <w:u w:val="none"/>
    </w:rPr>
  </w:style>
  <w:style w:type="paragraph" w:customStyle="1" w:styleId="52">
    <w:name w:val="标题 31"/>
    <w:basedOn w:val="1"/>
    <w:autoRedefine/>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19"/>
    <w:link w:val="2"/>
    <w:autoRedefine/>
    <w:qFormat/>
    <w:uiPriority w:val="0"/>
    <w:rPr>
      <w:rFonts w:asciiTheme="minorHAnsi" w:hAnsiTheme="minorHAnsi" w:eastAsiaTheme="minorEastAsia" w:cstheme="minorBidi"/>
      <w:b/>
      <w:bCs/>
      <w:kern w:val="44"/>
      <w:sz w:val="44"/>
      <w:szCs w:val="44"/>
    </w:rPr>
  </w:style>
  <w:style w:type="character" w:customStyle="1" w:styleId="54">
    <w:name w:val="批注文字 字符"/>
    <w:basedOn w:val="19"/>
    <w:link w:val="5"/>
    <w:autoRedefine/>
    <w:semiHidden/>
    <w:qFormat/>
    <w:uiPriority w:val="0"/>
    <w:rPr>
      <w:rFonts w:ascii="Calibri" w:hAnsi="Calibri" w:cs="宋体"/>
      <w:kern w:val="2"/>
      <w:sz w:val="21"/>
      <w:szCs w:val="22"/>
    </w:rPr>
  </w:style>
  <w:style w:type="character" w:customStyle="1" w:styleId="55">
    <w:name w:val="批注主题 字符"/>
    <w:basedOn w:val="54"/>
    <w:link w:val="14"/>
    <w:autoRedefine/>
    <w:qFormat/>
    <w:uiPriority w:val="0"/>
    <w:rPr>
      <w:rFonts w:ascii="Calibri" w:hAnsi="Calibri" w:cs="宋体"/>
      <w:kern w:val="2"/>
      <w:sz w:val="21"/>
      <w:szCs w:val="22"/>
    </w:rPr>
  </w:style>
  <w:style w:type="character" w:customStyle="1" w:styleId="56">
    <w:name w:val="标题 字符"/>
    <w:link w:val="13"/>
    <w:autoRedefine/>
    <w:qFormat/>
    <w:uiPriority w:val="0"/>
    <w:rPr>
      <w:rFonts w:ascii="Cambria" w:hAnsi="Cambria"/>
      <w:b/>
      <w:bCs/>
      <w:sz w:val="32"/>
      <w:szCs w:val="32"/>
    </w:rPr>
  </w:style>
  <w:style w:type="paragraph" w:customStyle="1" w:styleId="57">
    <w:name w:val="样式1"/>
    <w:basedOn w:val="1"/>
    <w:autoRedefine/>
    <w:qFormat/>
    <w:uiPriority w:val="0"/>
    <w:pPr>
      <w:adjustRightInd w:val="0"/>
      <w:textAlignment w:val="baseline"/>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6979</Words>
  <Characters>7457</Characters>
  <Lines>71</Lines>
  <Paragraphs>20</Paragraphs>
  <TotalTime>0</TotalTime>
  <ScaleCrop>false</ScaleCrop>
  <LinksUpToDate>false</LinksUpToDate>
  <CharactersWithSpaces>8161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忆＞小敏儿</cp:lastModifiedBy>
  <cp:lastPrinted>2022-07-04T11:19:00Z</cp:lastPrinted>
  <dcterms:modified xsi:type="dcterms:W3CDTF">2024-03-11T01:29:15Z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65C14D47BD224AE7AC2DF01220B03EAA_13</vt:lpwstr>
  </property>
</Properties>
</file>