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11"/>
          <w:rFonts w:hint="eastAsia" w:ascii="宋体" w:hAnsi="宋体" w:eastAsia="宋体" w:cs="宋体"/>
          <w:b/>
          <w:bCs/>
          <w:i w:val="0"/>
          <w:iCs w:val="0"/>
          <w:caps w:val="0"/>
          <w:color w:val="2B2B2B"/>
          <w:spacing w:val="0"/>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Style w:val="11"/>
          <w:rFonts w:hint="eastAsia" w:ascii="宋体" w:hAnsi="宋体" w:eastAsia="宋体" w:cs="宋体"/>
          <w:b/>
          <w:bCs/>
          <w:i w:val="0"/>
          <w:iCs w:val="0"/>
          <w:caps w:val="0"/>
          <w:color w:val="2B2B2B"/>
          <w:spacing w:val="0"/>
          <w:sz w:val="32"/>
          <w:szCs w:val="32"/>
          <w:lang w:val="en-US" w:eastAsia="zh-CN"/>
        </w:rPr>
      </w:pPr>
      <w:r>
        <w:rPr>
          <w:rStyle w:val="11"/>
          <w:rFonts w:hint="eastAsia" w:ascii="宋体" w:hAnsi="宋体" w:eastAsia="宋体" w:cs="宋体"/>
          <w:b/>
          <w:bCs/>
          <w:i w:val="0"/>
          <w:iCs w:val="0"/>
          <w:caps w:val="0"/>
          <w:color w:val="2B2B2B"/>
          <w:spacing w:val="0"/>
          <w:sz w:val="32"/>
          <w:szCs w:val="32"/>
          <w:lang w:val="en-US" w:eastAsia="zh-CN"/>
        </w:rPr>
        <w:t>评分标准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Style w:val="11"/>
          <w:rFonts w:hint="eastAsia" w:ascii="宋体" w:hAnsi="宋体" w:eastAsia="宋体" w:cs="宋体"/>
          <w:b/>
          <w:bCs/>
          <w:i w:val="0"/>
          <w:iCs w:val="0"/>
          <w:caps w:val="0"/>
          <w:color w:val="2B2B2B"/>
          <w:spacing w:val="0"/>
          <w:sz w:val="32"/>
          <w:szCs w:val="32"/>
          <w:lang w:val="en-US" w:eastAsia="zh-CN"/>
        </w:rPr>
      </w:pPr>
    </w:p>
    <w:tbl>
      <w:tblPr>
        <w:tblStyle w:val="9"/>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140"/>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29"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1"/>
                <w:rFonts w:hint="eastAsia" w:ascii="宋体" w:hAnsi="宋体" w:eastAsia="宋体" w:cs="宋体"/>
                <w:b/>
                <w:bCs/>
                <w:i w:val="0"/>
                <w:iCs w:val="0"/>
                <w:caps w:val="0"/>
                <w:color w:val="2B2B2B"/>
                <w:spacing w:val="0"/>
                <w:sz w:val="24"/>
                <w:szCs w:val="24"/>
              </w:rPr>
              <w:t>条款内容</w:t>
            </w:r>
          </w:p>
        </w:tc>
        <w:tc>
          <w:tcPr>
            <w:tcW w:w="7978"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1"/>
                <w:rFonts w:hint="eastAsia" w:ascii="宋体" w:hAnsi="宋体" w:eastAsia="宋体" w:cs="宋体"/>
                <w:b/>
                <w:bCs/>
                <w:i w:val="0"/>
                <w:iCs w:val="0"/>
                <w:caps w:val="0"/>
                <w:color w:val="2B2B2B"/>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429"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分值构</w:t>
            </w:r>
            <w:r>
              <w:rPr>
                <w:rFonts w:hint="eastAsia" w:ascii="宋体" w:hAnsi="宋体" w:eastAsia="宋体" w:cs="宋体"/>
                <w:i w:val="0"/>
                <w:iCs w:val="0"/>
                <w:caps w:val="0"/>
                <w:color w:val="2B2B2B"/>
                <w:spacing w:val="0"/>
                <w:sz w:val="24"/>
                <w:szCs w:val="24"/>
                <w:lang w:val="en-US" w:eastAsia="zh-CN"/>
              </w:rPr>
              <w:t>成</w:t>
            </w:r>
            <w:r>
              <w:rPr>
                <w:rFonts w:hint="eastAsia" w:ascii="宋体" w:hAnsi="宋体" w:eastAsia="宋体" w:cs="宋体"/>
                <w:i w:val="0"/>
                <w:iCs w:val="0"/>
                <w:caps w:val="0"/>
                <w:color w:val="2B2B2B"/>
                <w:spacing w:val="0"/>
                <w:sz w:val="24"/>
                <w:szCs w:val="24"/>
              </w:rPr>
              <w:t>(总分100分)</w:t>
            </w:r>
          </w:p>
        </w:tc>
        <w:tc>
          <w:tcPr>
            <w:tcW w:w="7978"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lang w:val="en-US" w:eastAsia="zh-CN"/>
              </w:rPr>
              <w:t>工作</w:t>
            </w:r>
            <w:r>
              <w:rPr>
                <w:rFonts w:hint="eastAsia" w:ascii="宋体" w:hAnsi="宋体" w:eastAsia="宋体" w:cs="宋体"/>
                <w:i w:val="0"/>
                <w:iCs w:val="0"/>
                <w:caps w:val="0"/>
                <w:color w:val="2B2B2B"/>
                <w:spacing w:val="0"/>
                <w:sz w:val="24"/>
                <w:szCs w:val="24"/>
              </w:rPr>
              <w:t>方案总体评价：</w:t>
            </w:r>
            <w:r>
              <w:rPr>
                <w:rFonts w:hint="eastAsia" w:ascii="宋体" w:hAnsi="宋体" w:eastAsia="宋体" w:cs="宋体"/>
                <w:i w:val="0"/>
                <w:iCs w:val="0"/>
                <w:caps w:val="0"/>
                <w:color w:val="2B2B2B"/>
                <w:spacing w:val="0"/>
                <w:sz w:val="24"/>
                <w:szCs w:val="24"/>
                <w:u w:val="single"/>
                <w:lang w:val="en-US" w:eastAsia="zh-CN"/>
              </w:rPr>
              <w:t>60</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报价得分：</w:t>
            </w:r>
            <w:r>
              <w:rPr>
                <w:rFonts w:hint="eastAsia" w:ascii="宋体" w:hAnsi="宋体" w:eastAsia="宋体" w:cs="宋体"/>
                <w:i w:val="0"/>
                <w:iCs w:val="0"/>
                <w:caps w:val="0"/>
                <w:color w:val="2B2B2B"/>
                <w:spacing w:val="0"/>
                <w:sz w:val="24"/>
                <w:szCs w:val="24"/>
                <w:u w:val="single"/>
                <w:lang w:val="en-US" w:eastAsia="zh-CN"/>
              </w:rPr>
              <w:t>40</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jc w:val="center"/>
        </w:trPr>
        <w:tc>
          <w:tcPr>
            <w:tcW w:w="1429"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评</w:t>
            </w:r>
            <w:r>
              <w:rPr>
                <w:rFonts w:hint="eastAsia" w:ascii="宋体" w:hAnsi="宋体" w:eastAsia="宋体" w:cs="宋体"/>
                <w:i w:val="0"/>
                <w:iCs w:val="0"/>
                <w:caps w:val="0"/>
                <w:color w:val="2B2B2B"/>
                <w:spacing w:val="0"/>
                <w:sz w:val="24"/>
                <w:szCs w:val="24"/>
                <w:lang w:val="en-US" w:eastAsia="zh-CN"/>
              </w:rPr>
              <w:t>选</w:t>
            </w:r>
            <w:r>
              <w:rPr>
                <w:rFonts w:hint="eastAsia" w:ascii="宋体" w:hAnsi="宋体" w:eastAsia="宋体" w:cs="宋体"/>
                <w:i w:val="0"/>
                <w:iCs w:val="0"/>
                <w:caps w:val="0"/>
                <w:color w:val="2B2B2B"/>
                <w:spacing w:val="0"/>
                <w:sz w:val="24"/>
                <w:szCs w:val="24"/>
              </w:rPr>
              <w:t>基准价计算方法</w:t>
            </w:r>
          </w:p>
        </w:tc>
        <w:tc>
          <w:tcPr>
            <w:tcW w:w="7978"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当有效报价＞20家时,去掉四个最高和四个最低报价后取所有有效报价的平均值做为评标基准价费率；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当有效报价＞10、≤20家时，去掉两个最高和两个最低报价后取所有有效报价的平均值做为评标基准价费率；当有效报价＞5家、≤10家，去掉一个最高和一个最低后取所有有效报价的平均值做为评标基准价费率；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当有效报价≤5家时，取所有有效报价的平均值做为评标基准价费率。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（有效报价为通过形式和响应性评审及资格审查的</w:t>
            </w:r>
            <w:r>
              <w:rPr>
                <w:rFonts w:hint="eastAsia" w:ascii="宋体" w:hAnsi="宋体" w:eastAsia="宋体" w:cs="宋体"/>
                <w:i w:val="0"/>
                <w:iCs w:val="0"/>
                <w:caps w:val="0"/>
                <w:color w:val="2B2B2B"/>
                <w:spacing w:val="0"/>
                <w:sz w:val="24"/>
                <w:szCs w:val="24"/>
                <w:lang w:val="en-US" w:eastAsia="zh-CN"/>
              </w:rPr>
              <w:t>比选</w:t>
            </w:r>
            <w:r>
              <w:rPr>
                <w:rFonts w:hint="eastAsia" w:ascii="宋体" w:hAnsi="宋体" w:eastAsia="宋体" w:cs="宋体"/>
                <w:i w:val="0"/>
                <w:iCs w:val="0"/>
                <w:caps w:val="0"/>
                <w:color w:val="2B2B2B"/>
                <w:spacing w:val="0"/>
                <w:sz w:val="24"/>
                <w:szCs w:val="24"/>
              </w:rPr>
              <w:t>文件的报价）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1"/>
                <w:rFonts w:hint="eastAsia" w:ascii="宋体" w:hAnsi="宋体" w:eastAsia="宋体" w:cs="宋体"/>
                <w:b/>
                <w:bCs/>
                <w:i w:val="0"/>
                <w:iCs w:val="0"/>
                <w:caps w:val="0"/>
                <w:color w:val="2B2B2B"/>
                <w:spacing w:val="0"/>
                <w:sz w:val="24"/>
                <w:szCs w:val="24"/>
              </w:rPr>
              <w:t>评分因素</w:t>
            </w:r>
          </w:p>
        </w:tc>
        <w:tc>
          <w:tcPr>
            <w:tcW w:w="7978"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1"/>
                <w:rFonts w:hint="eastAsia" w:ascii="宋体" w:hAnsi="宋体" w:eastAsia="宋体" w:cs="宋体"/>
                <w:b/>
                <w:bCs/>
                <w:i w:val="0"/>
                <w:iCs w:val="0"/>
                <w:caps w:val="0"/>
                <w:color w:val="2B2B2B"/>
                <w:spacing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429"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shd w:val="clear" w:fill="FFFFFF"/>
                <w:lang w:val="en-US" w:eastAsia="zh-CN"/>
              </w:rPr>
              <w:t>工作</w:t>
            </w:r>
            <w:r>
              <w:rPr>
                <w:rFonts w:hint="eastAsia" w:ascii="宋体" w:hAnsi="宋体" w:eastAsia="宋体" w:cs="宋体"/>
                <w:i w:val="0"/>
                <w:iCs w:val="0"/>
                <w:caps w:val="0"/>
                <w:color w:val="2B2B2B"/>
                <w:spacing w:val="0"/>
                <w:sz w:val="24"/>
                <w:szCs w:val="24"/>
                <w:shd w:val="clear" w:fill="FFFFFF"/>
              </w:rPr>
              <w:t>方案总体评价（</w:t>
            </w:r>
            <w:r>
              <w:rPr>
                <w:rFonts w:hint="eastAsia" w:ascii="宋体" w:hAnsi="宋体" w:eastAsia="宋体" w:cs="宋体"/>
                <w:i w:val="0"/>
                <w:iCs w:val="0"/>
                <w:caps w:val="0"/>
                <w:color w:val="2B2B2B"/>
                <w:spacing w:val="0"/>
                <w:sz w:val="24"/>
                <w:szCs w:val="24"/>
                <w:shd w:val="clear" w:fill="FFFFFF"/>
                <w:lang w:val="en-US" w:eastAsia="zh-CN"/>
              </w:rPr>
              <w:t>60</w:t>
            </w:r>
            <w:r>
              <w:rPr>
                <w:rFonts w:hint="eastAsia" w:ascii="宋体" w:hAnsi="宋体" w:eastAsia="宋体" w:cs="宋体"/>
                <w:i w:val="0"/>
                <w:iCs w:val="0"/>
                <w:caps w:val="0"/>
                <w:color w:val="2B2B2B"/>
                <w:spacing w:val="0"/>
                <w:sz w:val="24"/>
                <w:szCs w:val="24"/>
                <w:shd w:val="clear" w:fill="FFFFFF"/>
              </w:rPr>
              <w:t>分）</w:t>
            </w: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lang w:val="en-US" w:eastAsia="zh-CN"/>
              </w:rPr>
              <w:t>评审</w:t>
            </w:r>
            <w:r>
              <w:rPr>
                <w:rFonts w:hint="eastAsia" w:ascii="宋体" w:hAnsi="宋体" w:eastAsia="宋体" w:cs="宋体"/>
                <w:i w:val="0"/>
                <w:iCs w:val="0"/>
                <w:caps w:val="0"/>
                <w:color w:val="2B2B2B"/>
                <w:spacing w:val="0"/>
                <w:sz w:val="24"/>
                <w:szCs w:val="24"/>
              </w:rPr>
              <w:t>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lang w:val="en-US" w:eastAsia="zh-CN"/>
              </w:rPr>
              <w:t>及人员配备</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30</w:t>
            </w:r>
            <w:r>
              <w:rPr>
                <w:rFonts w:hint="eastAsia" w:ascii="宋体" w:hAnsi="宋体" w:eastAsia="宋体" w:cs="宋体"/>
                <w:i w:val="0"/>
                <w:iCs w:val="0"/>
                <w:caps w:val="0"/>
                <w:color w:val="2B2B2B"/>
                <w:spacing w:val="0"/>
                <w:sz w:val="24"/>
                <w:szCs w:val="24"/>
              </w:rPr>
              <w:t>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1、评</w:t>
            </w:r>
            <w:r>
              <w:rPr>
                <w:rFonts w:hint="eastAsia" w:ascii="宋体" w:hAnsi="宋体" w:eastAsia="宋体" w:cs="宋体"/>
                <w:i w:val="0"/>
                <w:iCs w:val="0"/>
                <w:caps w:val="0"/>
                <w:color w:val="2B2B2B"/>
                <w:spacing w:val="0"/>
                <w:sz w:val="24"/>
                <w:szCs w:val="24"/>
                <w:lang w:val="en-US" w:eastAsia="zh-CN"/>
              </w:rPr>
              <w:t>审</w:t>
            </w:r>
            <w:r>
              <w:rPr>
                <w:rFonts w:hint="eastAsia" w:ascii="宋体" w:hAnsi="宋体" w:eastAsia="宋体" w:cs="宋体"/>
                <w:i w:val="0"/>
                <w:iCs w:val="0"/>
                <w:caps w:val="0"/>
                <w:color w:val="2B2B2B"/>
                <w:spacing w:val="0"/>
                <w:sz w:val="24"/>
                <w:szCs w:val="24"/>
              </w:rPr>
              <w:t>方案依据:方案详细、完整、全面，服务目标明确，工作流程清晰、规范。评分标准:优秀1</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20</w:t>
            </w:r>
            <w:r>
              <w:rPr>
                <w:rFonts w:hint="eastAsia" w:ascii="宋体" w:hAnsi="宋体" w:eastAsia="宋体" w:cs="宋体"/>
                <w:i w:val="0"/>
                <w:iCs w:val="0"/>
                <w:caps w:val="0"/>
                <w:color w:val="2B2B2B"/>
                <w:spacing w:val="0"/>
                <w:sz w:val="24"/>
                <w:szCs w:val="24"/>
              </w:rPr>
              <w:t>;一般</w:t>
            </w:r>
            <w:r>
              <w:rPr>
                <w:rFonts w:hint="eastAsia" w:ascii="宋体" w:hAnsi="宋体" w:eastAsia="宋体" w:cs="宋体"/>
                <w:i w:val="0"/>
                <w:iCs w:val="0"/>
                <w:caps w:val="0"/>
                <w:color w:val="2B2B2B"/>
                <w:spacing w:val="0"/>
                <w:sz w:val="24"/>
                <w:szCs w:val="24"/>
                <w:lang w:val="en-US" w:eastAsia="zh-CN"/>
              </w:rPr>
              <w:t>11</w:t>
            </w:r>
            <w:r>
              <w:rPr>
                <w:rFonts w:hint="eastAsia" w:ascii="宋体" w:hAnsi="宋体" w:eastAsia="宋体" w:cs="宋体"/>
                <w:i w:val="0"/>
                <w:iCs w:val="0"/>
                <w:caps w:val="0"/>
                <w:color w:val="2B2B2B"/>
                <w:spacing w:val="0"/>
                <w:sz w:val="24"/>
                <w:szCs w:val="24"/>
              </w:rPr>
              <w:t>-1</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 xml:space="preserve">;较差 </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2、人员配备依据:根据参选单位对本项目配备人员的人数、资历、资质。评分标准:合理8-10;基本</w:t>
            </w:r>
            <w:bookmarkStart w:id="0" w:name="_GoBack"/>
            <w:bookmarkEnd w:id="0"/>
            <w:r>
              <w:rPr>
                <w:rFonts w:hint="eastAsia" w:ascii="宋体" w:hAnsi="宋体" w:eastAsia="宋体" w:cs="宋体"/>
                <w:i w:val="0"/>
                <w:iCs w:val="0"/>
                <w:caps w:val="0"/>
                <w:color w:val="2B2B2B"/>
                <w:spacing w:val="0"/>
                <w:sz w:val="24"/>
                <w:szCs w:val="24"/>
              </w:rPr>
              <w:t>合理5-7;不合理 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429"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lang w:val="en-US" w:eastAsia="zh-CN"/>
              </w:rPr>
              <w:t>类似业绩</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30</w:t>
            </w:r>
            <w:r>
              <w:rPr>
                <w:rFonts w:hint="eastAsia" w:ascii="宋体" w:hAnsi="宋体" w:eastAsia="宋体" w:cs="宋体"/>
                <w:i w:val="0"/>
                <w:iCs w:val="0"/>
                <w:caps w:val="0"/>
                <w:color w:val="2B2B2B"/>
                <w:spacing w:val="0"/>
                <w:sz w:val="24"/>
                <w:szCs w:val="24"/>
              </w:rPr>
              <w:t>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i w:val="0"/>
                <w:iCs w:val="0"/>
                <w:caps w:val="0"/>
                <w:color w:val="2B2B2B"/>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提供同类业绩每个得</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i w:val="0"/>
                <w:iCs w:val="0"/>
                <w:caps w:val="0"/>
                <w:color w:val="2B2B2B"/>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29"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lang w:val="en-US" w:eastAsia="zh-CN"/>
              </w:rPr>
              <w:t>比选</w:t>
            </w:r>
            <w:r>
              <w:rPr>
                <w:rFonts w:hint="eastAsia" w:ascii="宋体" w:hAnsi="宋体" w:eastAsia="宋体" w:cs="宋体"/>
                <w:i w:val="0"/>
                <w:iCs w:val="0"/>
                <w:caps w:val="0"/>
                <w:color w:val="2B2B2B"/>
                <w:spacing w:val="0"/>
                <w:sz w:val="24"/>
                <w:szCs w:val="24"/>
              </w:rPr>
              <w:t>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40</w:t>
            </w:r>
            <w:r>
              <w:rPr>
                <w:rFonts w:hint="eastAsia" w:ascii="宋体" w:hAnsi="宋体" w:eastAsia="宋体" w:cs="宋体"/>
                <w:i w:val="0"/>
                <w:iCs w:val="0"/>
                <w:caps w:val="0"/>
                <w:color w:val="2B2B2B"/>
                <w:spacing w:val="0"/>
                <w:sz w:val="24"/>
                <w:szCs w:val="24"/>
              </w:rPr>
              <w:t>分）</w:t>
            </w: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费率报价（</w:t>
            </w:r>
            <w:r>
              <w:rPr>
                <w:rFonts w:hint="eastAsia" w:ascii="宋体" w:hAnsi="宋体" w:eastAsia="宋体" w:cs="宋体"/>
                <w:i w:val="0"/>
                <w:iCs w:val="0"/>
                <w:caps w:val="0"/>
                <w:color w:val="2B2B2B"/>
                <w:spacing w:val="0"/>
                <w:sz w:val="24"/>
                <w:szCs w:val="24"/>
                <w:lang w:val="en-US" w:eastAsia="zh-CN"/>
              </w:rPr>
              <w:t>40</w:t>
            </w:r>
            <w:r>
              <w:rPr>
                <w:rFonts w:hint="eastAsia" w:ascii="宋体" w:hAnsi="宋体" w:eastAsia="宋体" w:cs="宋体"/>
                <w:i w:val="0"/>
                <w:iCs w:val="0"/>
                <w:caps w:val="0"/>
                <w:color w:val="2B2B2B"/>
                <w:spacing w:val="0"/>
                <w:sz w:val="24"/>
                <w:szCs w:val="24"/>
              </w:rPr>
              <w:t>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投标报价费率与评标基准价费率一致得标准分，每比评标基准价费率高一个百分点减2分，每低一个百分点减1分，减完为止。</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sz w:val="24"/>
          <w:szCs w:val="24"/>
        </w:rPr>
      </w:pPr>
      <w:r>
        <w:rPr>
          <w:rFonts w:hint="eastAsia" w:ascii="宋体" w:hAnsi="宋体" w:eastAsia="宋体" w:cs="宋体"/>
          <w:i w:val="0"/>
          <w:iCs w:val="0"/>
          <w:caps w:val="0"/>
          <w:color w:val="2B2B2B"/>
          <w:spacing w:val="0"/>
          <w:sz w:val="24"/>
          <w:szCs w:val="24"/>
          <w:highlight w:val="none"/>
          <w:lang w:val="en-US" w:eastAsia="zh-CN"/>
        </w:rPr>
        <w:t>综合评分法得分最高者中选，如综合评分相同时，报价费率低者中选。</w:t>
      </w: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ZTljOGQyMzcxNDhlYjI4NDYyN2Q4NzlmNTkzMjcifQ=="/>
  </w:docVars>
  <w:rsids>
    <w:rsidRoot w:val="00000000"/>
    <w:rsid w:val="012B3476"/>
    <w:rsid w:val="0A5E1814"/>
    <w:rsid w:val="11BA1E1D"/>
    <w:rsid w:val="14A53BA2"/>
    <w:rsid w:val="1779212E"/>
    <w:rsid w:val="1D304BE4"/>
    <w:rsid w:val="1EE05B4F"/>
    <w:rsid w:val="1F2C5185"/>
    <w:rsid w:val="20F45451"/>
    <w:rsid w:val="230D6F81"/>
    <w:rsid w:val="27721DCC"/>
    <w:rsid w:val="29871AEB"/>
    <w:rsid w:val="2AB253C7"/>
    <w:rsid w:val="2BDE3D91"/>
    <w:rsid w:val="2EBC18D7"/>
    <w:rsid w:val="2F2D046C"/>
    <w:rsid w:val="2FC242FE"/>
    <w:rsid w:val="32CF5408"/>
    <w:rsid w:val="34D76ADF"/>
    <w:rsid w:val="37D01583"/>
    <w:rsid w:val="38B00A63"/>
    <w:rsid w:val="424C1285"/>
    <w:rsid w:val="4B2E50F8"/>
    <w:rsid w:val="55CD7E0B"/>
    <w:rsid w:val="56112F2F"/>
    <w:rsid w:val="5F292E8D"/>
    <w:rsid w:val="665C5C0C"/>
    <w:rsid w:val="674638D0"/>
    <w:rsid w:val="68A92CDA"/>
    <w:rsid w:val="6D693A75"/>
    <w:rsid w:val="74DC7D7A"/>
    <w:rsid w:val="7F41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240"/>
    </w:pPr>
    <w:rPr>
      <w:sz w:val="21"/>
      <w:szCs w:val="21"/>
    </w:rPr>
  </w:style>
  <w:style w:type="paragraph" w:styleId="3">
    <w:name w:val="Normal Indent"/>
    <w:basedOn w:val="1"/>
    <w:next w:val="4"/>
    <w:autoRedefine/>
    <w:qFormat/>
    <w:uiPriority w:val="0"/>
    <w:pPr>
      <w:widowControl w:val="0"/>
      <w:autoSpaceDE/>
      <w:autoSpaceDN/>
      <w:spacing w:before="0" w:after="0" w:line="240" w:lineRule="auto"/>
      <w:ind w:left="0" w:firstLine="420"/>
      <w:jc w:val="both"/>
    </w:pPr>
    <w:rPr>
      <w:rFonts w:ascii="Times New Roman" w:eastAsia="宋体"/>
      <w:sz w:val="21"/>
    </w:rPr>
  </w:style>
  <w:style w:type="paragraph" w:customStyle="1" w:styleId="4">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styleId="5">
    <w:name w:val="Body Text Indent"/>
    <w:basedOn w:val="1"/>
    <w:next w:val="3"/>
    <w:autoRedefine/>
    <w:qFormat/>
    <w:uiPriority w:val="0"/>
    <w:pPr>
      <w:widowControl w:val="0"/>
      <w:autoSpaceDE/>
      <w:autoSpaceDN/>
      <w:spacing w:before="0" w:after="120" w:line="240" w:lineRule="auto"/>
      <w:ind w:left="420" w:firstLine="0"/>
      <w:jc w:val="both"/>
    </w:pPr>
    <w:rPr>
      <w:rFonts w:ascii="Times New Roman" w:eastAsia="宋体"/>
      <w:sz w:val="21"/>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next w:val="1"/>
    <w:autoRedefine/>
    <w:qFormat/>
    <w:uiPriority w:val="0"/>
    <w:pPr>
      <w:spacing w:after="120" w:line="440" w:lineRule="exact"/>
      <w:ind w:left="420" w:leftChars="200" w:firstLine="210" w:firstLineChars="200"/>
    </w:pPr>
    <w:rPr>
      <w:sz w:val="21"/>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508</Words>
  <Characters>543</Characters>
  <Lines>0</Lines>
  <Paragraphs>0</Paragraphs>
  <TotalTime>22</TotalTime>
  <ScaleCrop>false</ScaleCrop>
  <LinksUpToDate>false</LinksUpToDate>
  <CharactersWithSpaces>545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2023-10-26T01:22:00Z</dcterms:created>
  <dc:creator>CMGE-PC</dc:creator>
  <cp:lastModifiedBy>裴敏翔</cp:lastModifiedBy>
  <dcterms:modified xsi:type="dcterms:W3CDTF">2024-08-16T08:32:25Z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97641756FCE84BCAAB704F521997B641_13</vt:lpwstr>
  </property>
</Properties>
</file>