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94F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14"/>
          <w:rFonts w:hint="eastAsia" w:ascii="宋体" w:hAnsi="宋体" w:eastAsia="宋体" w:cs="宋体"/>
          <w:b/>
          <w:bCs/>
          <w:i w:val="0"/>
          <w:iCs w:val="0"/>
          <w:caps w:val="0"/>
          <w:color w:val="2B2B2B"/>
          <w:spacing w:val="0"/>
          <w:sz w:val="28"/>
          <w:szCs w:val="28"/>
          <w:lang w:val="en-US" w:eastAsia="zh-CN"/>
        </w:rPr>
      </w:pPr>
    </w:p>
    <w:p w14:paraId="57817CC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Style w:val="14"/>
          <w:rFonts w:hint="eastAsia" w:ascii="宋体" w:hAnsi="宋体" w:eastAsia="宋体" w:cs="宋体"/>
          <w:b/>
          <w:bCs/>
          <w:i w:val="0"/>
          <w:iCs w:val="0"/>
          <w:caps w:val="0"/>
          <w:color w:val="2B2B2B"/>
          <w:spacing w:val="0"/>
          <w:sz w:val="32"/>
          <w:szCs w:val="32"/>
          <w:lang w:val="en-US" w:eastAsia="zh-CN"/>
        </w:rPr>
      </w:pPr>
      <w:r>
        <w:rPr>
          <w:rStyle w:val="14"/>
          <w:rFonts w:hint="eastAsia" w:ascii="宋体" w:hAnsi="宋体" w:eastAsia="宋体" w:cs="宋体"/>
          <w:b/>
          <w:bCs/>
          <w:i w:val="0"/>
          <w:iCs w:val="0"/>
          <w:caps w:val="0"/>
          <w:color w:val="2B2B2B"/>
          <w:spacing w:val="0"/>
          <w:sz w:val="32"/>
          <w:szCs w:val="32"/>
          <w:lang w:val="en-US" w:eastAsia="zh-CN"/>
        </w:rPr>
        <w:t>评分标准</w:t>
      </w:r>
    </w:p>
    <w:p w14:paraId="3A31D7B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Style w:val="14"/>
          <w:rFonts w:hint="eastAsia" w:ascii="宋体" w:hAnsi="宋体" w:eastAsia="宋体" w:cs="宋体"/>
          <w:b/>
          <w:bCs/>
          <w:i w:val="0"/>
          <w:iCs w:val="0"/>
          <w:caps w:val="0"/>
          <w:color w:val="2B2B2B"/>
          <w:spacing w:val="0"/>
          <w:sz w:val="32"/>
          <w:szCs w:val="32"/>
          <w:lang w:val="en-US" w:eastAsia="zh-CN"/>
        </w:rPr>
      </w:pPr>
    </w:p>
    <w:tbl>
      <w:tblPr>
        <w:tblStyle w:val="12"/>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140"/>
        <w:gridCol w:w="5838"/>
      </w:tblGrid>
      <w:tr w14:paraId="7FDC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29" w:type="dxa"/>
            <w:vAlign w:val="center"/>
          </w:tcPr>
          <w:p w14:paraId="5D84B2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Style w:val="14"/>
                <w:rFonts w:hint="eastAsia" w:ascii="宋体" w:hAnsi="宋体" w:eastAsia="宋体" w:cs="宋体"/>
                <w:b/>
                <w:bCs/>
                <w:i w:val="0"/>
                <w:iCs w:val="0"/>
                <w:caps w:val="0"/>
                <w:color w:val="2B2B2B"/>
                <w:spacing w:val="0"/>
                <w:sz w:val="24"/>
                <w:szCs w:val="24"/>
              </w:rPr>
              <w:t>条款内容</w:t>
            </w:r>
          </w:p>
        </w:tc>
        <w:tc>
          <w:tcPr>
            <w:tcW w:w="7978" w:type="dxa"/>
            <w:gridSpan w:val="2"/>
            <w:vAlign w:val="center"/>
          </w:tcPr>
          <w:p w14:paraId="78DB0A3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Style w:val="14"/>
                <w:rFonts w:hint="eastAsia" w:ascii="宋体" w:hAnsi="宋体" w:eastAsia="宋体" w:cs="宋体"/>
                <w:b/>
                <w:bCs/>
                <w:i w:val="0"/>
                <w:iCs w:val="0"/>
                <w:caps w:val="0"/>
                <w:color w:val="2B2B2B"/>
                <w:spacing w:val="0"/>
                <w:sz w:val="24"/>
                <w:szCs w:val="24"/>
              </w:rPr>
              <w:t>编列内容</w:t>
            </w:r>
          </w:p>
        </w:tc>
      </w:tr>
      <w:tr w14:paraId="63DE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1429" w:type="dxa"/>
            <w:vAlign w:val="center"/>
          </w:tcPr>
          <w:p w14:paraId="11975D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分值构</w:t>
            </w:r>
            <w:r>
              <w:rPr>
                <w:rFonts w:hint="eastAsia" w:ascii="宋体" w:hAnsi="宋体" w:eastAsia="宋体" w:cs="宋体"/>
                <w:i w:val="0"/>
                <w:iCs w:val="0"/>
                <w:caps w:val="0"/>
                <w:color w:val="2B2B2B"/>
                <w:spacing w:val="0"/>
                <w:sz w:val="24"/>
                <w:szCs w:val="24"/>
                <w:lang w:val="en-US" w:eastAsia="zh-CN"/>
              </w:rPr>
              <w:t>成</w:t>
            </w:r>
            <w:r>
              <w:rPr>
                <w:rFonts w:hint="eastAsia" w:ascii="宋体" w:hAnsi="宋体" w:eastAsia="宋体" w:cs="宋体"/>
                <w:i w:val="0"/>
                <w:iCs w:val="0"/>
                <w:caps w:val="0"/>
                <w:color w:val="2B2B2B"/>
                <w:spacing w:val="0"/>
                <w:sz w:val="24"/>
                <w:szCs w:val="24"/>
              </w:rPr>
              <w:t>(总分100分)</w:t>
            </w:r>
          </w:p>
        </w:tc>
        <w:tc>
          <w:tcPr>
            <w:tcW w:w="7978" w:type="dxa"/>
            <w:gridSpan w:val="2"/>
            <w:vAlign w:val="center"/>
          </w:tcPr>
          <w:p w14:paraId="24FAEA4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lang w:val="en-US" w:eastAsia="zh-CN"/>
              </w:rPr>
              <w:t>工作</w:t>
            </w:r>
            <w:r>
              <w:rPr>
                <w:rFonts w:hint="eastAsia" w:ascii="宋体" w:hAnsi="宋体" w:eastAsia="宋体" w:cs="宋体"/>
                <w:i w:val="0"/>
                <w:iCs w:val="0"/>
                <w:caps w:val="0"/>
                <w:color w:val="2B2B2B"/>
                <w:spacing w:val="0"/>
                <w:sz w:val="24"/>
                <w:szCs w:val="24"/>
              </w:rPr>
              <w:t>方案总体评价：</w:t>
            </w:r>
            <w:r>
              <w:rPr>
                <w:rFonts w:hint="eastAsia" w:ascii="宋体" w:hAnsi="宋体" w:eastAsia="宋体" w:cs="宋体"/>
                <w:i w:val="0"/>
                <w:iCs w:val="0"/>
                <w:caps w:val="0"/>
                <w:color w:val="2B2B2B"/>
                <w:spacing w:val="0"/>
                <w:sz w:val="24"/>
                <w:szCs w:val="24"/>
                <w:u w:val="single"/>
                <w:lang w:val="en-US" w:eastAsia="zh-CN"/>
              </w:rPr>
              <w:t>60</w:t>
            </w:r>
            <w:r>
              <w:rPr>
                <w:rFonts w:hint="eastAsia" w:ascii="宋体" w:hAnsi="宋体" w:eastAsia="宋体" w:cs="宋体"/>
                <w:i w:val="0"/>
                <w:iCs w:val="0"/>
                <w:caps w:val="0"/>
                <w:color w:val="2B2B2B"/>
                <w:spacing w:val="0"/>
                <w:sz w:val="24"/>
                <w:szCs w:val="24"/>
              </w:rPr>
              <w:t>分</w:t>
            </w:r>
          </w:p>
          <w:p w14:paraId="05DC66B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报价得分：</w:t>
            </w:r>
            <w:r>
              <w:rPr>
                <w:rFonts w:hint="eastAsia" w:ascii="宋体" w:hAnsi="宋体" w:eastAsia="宋体" w:cs="宋体"/>
                <w:i w:val="0"/>
                <w:iCs w:val="0"/>
                <w:caps w:val="0"/>
                <w:color w:val="2B2B2B"/>
                <w:spacing w:val="0"/>
                <w:sz w:val="24"/>
                <w:szCs w:val="24"/>
                <w:u w:val="single"/>
                <w:lang w:val="en-US" w:eastAsia="zh-CN"/>
              </w:rPr>
              <w:t>40</w:t>
            </w:r>
            <w:r>
              <w:rPr>
                <w:rFonts w:hint="eastAsia" w:ascii="宋体" w:hAnsi="宋体" w:eastAsia="宋体" w:cs="宋体"/>
                <w:i w:val="0"/>
                <w:iCs w:val="0"/>
                <w:caps w:val="0"/>
                <w:color w:val="2B2B2B"/>
                <w:spacing w:val="0"/>
                <w:sz w:val="24"/>
                <w:szCs w:val="24"/>
              </w:rPr>
              <w:t>分</w:t>
            </w:r>
          </w:p>
        </w:tc>
      </w:tr>
      <w:tr w14:paraId="26C0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jc w:val="center"/>
        </w:trPr>
        <w:tc>
          <w:tcPr>
            <w:tcW w:w="1429" w:type="dxa"/>
            <w:vAlign w:val="center"/>
          </w:tcPr>
          <w:p w14:paraId="1BB9A63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评</w:t>
            </w:r>
            <w:r>
              <w:rPr>
                <w:rFonts w:hint="eastAsia" w:ascii="宋体" w:hAnsi="宋体" w:eastAsia="宋体" w:cs="宋体"/>
                <w:i w:val="0"/>
                <w:iCs w:val="0"/>
                <w:caps w:val="0"/>
                <w:color w:val="2B2B2B"/>
                <w:spacing w:val="0"/>
                <w:sz w:val="24"/>
                <w:szCs w:val="24"/>
                <w:lang w:val="en-US" w:eastAsia="zh-CN"/>
              </w:rPr>
              <w:t>选</w:t>
            </w:r>
            <w:r>
              <w:rPr>
                <w:rFonts w:hint="eastAsia" w:ascii="宋体" w:hAnsi="宋体" w:eastAsia="宋体" w:cs="宋体"/>
                <w:i w:val="0"/>
                <w:iCs w:val="0"/>
                <w:caps w:val="0"/>
                <w:color w:val="2B2B2B"/>
                <w:spacing w:val="0"/>
                <w:sz w:val="24"/>
                <w:szCs w:val="24"/>
              </w:rPr>
              <w:t>基准价计算方法</w:t>
            </w:r>
          </w:p>
        </w:tc>
        <w:tc>
          <w:tcPr>
            <w:tcW w:w="7978" w:type="dxa"/>
            <w:gridSpan w:val="2"/>
            <w:vAlign w:val="center"/>
          </w:tcPr>
          <w:p w14:paraId="7889504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当有效报价＞10、≤20家时，去掉两个最高和两个最低报价后取所有有效报价的平均值做为评标基准价；当有效报价＞5家、≤10家，去掉一个最高和一个最低后取所有有效报价的平均值做为评标基准价；</w:t>
            </w:r>
          </w:p>
          <w:p w14:paraId="7765086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当有效报价≤5家时，取所有有效报价的平均值做为评标基准价。</w:t>
            </w:r>
          </w:p>
          <w:p w14:paraId="4351635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（有效报价为通过形式和响应性评审及资格审查的</w:t>
            </w:r>
            <w:r>
              <w:rPr>
                <w:rFonts w:hint="eastAsia" w:ascii="宋体" w:hAnsi="宋体" w:eastAsia="宋体" w:cs="宋体"/>
                <w:i w:val="0"/>
                <w:iCs w:val="0"/>
                <w:caps w:val="0"/>
                <w:color w:val="2B2B2B"/>
                <w:spacing w:val="0"/>
                <w:sz w:val="24"/>
                <w:szCs w:val="24"/>
                <w:lang w:val="en-US" w:eastAsia="zh-CN"/>
              </w:rPr>
              <w:t>比选</w:t>
            </w:r>
            <w:r>
              <w:rPr>
                <w:rFonts w:hint="eastAsia" w:ascii="宋体" w:hAnsi="宋体" w:eastAsia="宋体" w:cs="宋体"/>
                <w:i w:val="0"/>
                <w:iCs w:val="0"/>
                <w:caps w:val="0"/>
                <w:color w:val="2B2B2B"/>
                <w:spacing w:val="0"/>
                <w:sz w:val="24"/>
                <w:szCs w:val="24"/>
              </w:rPr>
              <w:t>文件的报价）</w:t>
            </w:r>
          </w:p>
        </w:tc>
      </w:tr>
      <w:tr w14:paraId="6F92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680100F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Style w:val="14"/>
                <w:rFonts w:hint="eastAsia" w:ascii="宋体" w:hAnsi="宋体" w:eastAsia="宋体" w:cs="宋体"/>
                <w:b/>
                <w:bCs/>
                <w:i w:val="0"/>
                <w:iCs w:val="0"/>
                <w:caps w:val="0"/>
                <w:color w:val="2B2B2B"/>
                <w:spacing w:val="0"/>
                <w:sz w:val="24"/>
                <w:szCs w:val="24"/>
              </w:rPr>
              <w:t>评分因素</w:t>
            </w:r>
          </w:p>
        </w:tc>
        <w:tc>
          <w:tcPr>
            <w:tcW w:w="7978" w:type="dxa"/>
            <w:gridSpan w:val="2"/>
            <w:vAlign w:val="center"/>
          </w:tcPr>
          <w:p w14:paraId="18F1276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Style w:val="14"/>
                <w:rFonts w:hint="eastAsia" w:ascii="宋体" w:hAnsi="宋体" w:eastAsia="宋体" w:cs="宋体"/>
                <w:b/>
                <w:bCs/>
                <w:i w:val="0"/>
                <w:iCs w:val="0"/>
                <w:caps w:val="0"/>
                <w:color w:val="2B2B2B"/>
                <w:spacing w:val="0"/>
                <w:sz w:val="24"/>
                <w:szCs w:val="24"/>
              </w:rPr>
              <w:t>评分标准</w:t>
            </w:r>
          </w:p>
        </w:tc>
      </w:tr>
      <w:tr w14:paraId="6E2D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429" w:type="dxa"/>
            <w:vMerge w:val="restart"/>
            <w:vAlign w:val="center"/>
          </w:tcPr>
          <w:p w14:paraId="44954E5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shd w:val="clear" w:fill="FFFFFF"/>
                <w:lang w:val="en-US" w:eastAsia="zh-CN"/>
              </w:rPr>
              <w:t>工作</w:t>
            </w:r>
            <w:r>
              <w:rPr>
                <w:rFonts w:hint="eastAsia" w:ascii="宋体" w:hAnsi="宋体" w:eastAsia="宋体" w:cs="宋体"/>
                <w:i w:val="0"/>
                <w:iCs w:val="0"/>
                <w:caps w:val="0"/>
                <w:color w:val="2B2B2B"/>
                <w:spacing w:val="0"/>
                <w:sz w:val="24"/>
                <w:szCs w:val="24"/>
                <w:shd w:val="clear" w:fill="FFFFFF"/>
              </w:rPr>
              <w:t>方案总体评价（</w:t>
            </w:r>
            <w:r>
              <w:rPr>
                <w:rFonts w:hint="eastAsia" w:ascii="宋体" w:hAnsi="宋体" w:eastAsia="宋体" w:cs="宋体"/>
                <w:i w:val="0"/>
                <w:iCs w:val="0"/>
                <w:caps w:val="0"/>
                <w:color w:val="2B2B2B"/>
                <w:spacing w:val="0"/>
                <w:sz w:val="24"/>
                <w:szCs w:val="24"/>
                <w:shd w:val="clear" w:fill="FFFFFF"/>
                <w:lang w:val="en-US" w:eastAsia="zh-CN"/>
              </w:rPr>
              <w:t>60</w:t>
            </w:r>
            <w:r>
              <w:rPr>
                <w:rFonts w:hint="eastAsia" w:ascii="宋体" w:hAnsi="宋体" w:eastAsia="宋体" w:cs="宋体"/>
                <w:i w:val="0"/>
                <w:iCs w:val="0"/>
                <w:caps w:val="0"/>
                <w:color w:val="2B2B2B"/>
                <w:spacing w:val="0"/>
                <w:sz w:val="24"/>
                <w:szCs w:val="24"/>
                <w:shd w:val="clear" w:fill="FFFFFF"/>
              </w:rPr>
              <w:t>分）</w:t>
            </w:r>
          </w:p>
        </w:tc>
        <w:tc>
          <w:tcPr>
            <w:tcW w:w="2140" w:type="dxa"/>
            <w:vAlign w:val="center"/>
          </w:tcPr>
          <w:p w14:paraId="7F25A3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lang w:val="en-US" w:eastAsia="zh-CN"/>
              </w:rPr>
              <w:t>工作</w:t>
            </w:r>
            <w:r>
              <w:rPr>
                <w:rFonts w:hint="eastAsia" w:ascii="宋体" w:hAnsi="宋体" w:eastAsia="宋体" w:cs="宋体"/>
                <w:i w:val="0"/>
                <w:iCs w:val="0"/>
                <w:caps w:val="0"/>
                <w:color w:val="2B2B2B"/>
                <w:spacing w:val="0"/>
                <w:sz w:val="24"/>
                <w:szCs w:val="24"/>
              </w:rPr>
              <w:t>方案</w:t>
            </w:r>
          </w:p>
          <w:p w14:paraId="50D9974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lang w:val="en-US" w:eastAsia="zh-CN"/>
              </w:rPr>
              <w:t>及人员配备</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30</w:t>
            </w:r>
            <w:r>
              <w:rPr>
                <w:rFonts w:hint="eastAsia" w:ascii="宋体" w:hAnsi="宋体" w:eastAsia="宋体" w:cs="宋体"/>
                <w:i w:val="0"/>
                <w:iCs w:val="0"/>
                <w:caps w:val="0"/>
                <w:color w:val="2B2B2B"/>
                <w:spacing w:val="0"/>
                <w:sz w:val="24"/>
                <w:szCs w:val="24"/>
              </w:rPr>
              <w:t>分）</w:t>
            </w:r>
          </w:p>
        </w:tc>
        <w:tc>
          <w:tcPr>
            <w:tcW w:w="5838" w:type="dxa"/>
            <w:vAlign w:val="center"/>
          </w:tcPr>
          <w:p w14:paraId="67B38E9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1、</w:t>
            </w:r>
            <w:r>
              <w:rPr>
                <w:rFonts w:hint="eastAsia" w:ascii="宋体" w:hAnsi="宋体" w:eastAsia="宋体" w:cs="宋体"/>
                <w:i w:val="0"/>
                <w:iCs w:val="0"/>
                <w:caps w:val="0"/>
                <w:color w:val="2B2B2B"/>
                <w:spacing w:val="0"/>
                <w:sz w:val="24"/>
                <w:szCs w:val="24"/>
                <w:lang w:val="en-US" w:eastAsia="zh-CN"/>
              </w:rPr>
              <w:t>工作</w:t>
            </w:r>
            <w:r>
              <w:rPr>
                <w:rFonts w:hint="eastAsia" w:ascii="宋体" w:hAnsi="宋体" w:eastAsia="宋体" w:cs="宋体"/>
                <w:i w:val="0"/>
                <w:iCs w:val="0"/>
                <w:caps w:val="0"/>
                <w:color w:val="2B2B2B"/>
                <w:spacing w:val="0"/>
                <w:sz w:val="24"/>
                <w:szCs w:val="24"/>
              </w:rPr>
              <w:t>方案依据:方案详细、完整、全面，服务目标明确，工作流程清晰、规范。评分标准:优秀1</w:t>
            </w:r>
            <w:r>
              <w:rPr>
                <w:rFonts w:hint="eastAsia" w:ascii="宋体" w:hAnsi="宋体" w:eastAsia="宋体" w:cs="宋体"/>
                <w:i w:val="0"/>
                <w:iCs w:val="0"/>
                <w:caps w:val="0"/>
                <w:color w:val="2B2B2B"/>
                <w:spacing w:val="0"/>
                <w:sz w:val="24"/>
                <w:szCs w:val="24"/>
                <w:lang w:val="en-US" w:eastAsia="zh-CN"/>
              </w:rPr>
              <w:t>6</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20</w:t>
            </w:r>
            <w:r>
              <w:rPr>
                <w:rFonts w:hint="eastAsia" w:ascii="宋体" w:hAnsi="宋体" w:eastAsia="宋体" w:cs="宋体"/>
                <w:i w:val="0"/>
                <w:iCs w:val="0"/>
                <w:caps w:val="0"/>
                <w:color w:val="2B2B2B"/>
                <w:spacing w:val="0"/>
                <w:sz w:val="24"/>
                <w:szCs w:val="24"/>
              </w:rPr>
              <w:t>;一般</w:t>
            </w:r>
            <w:r>
              <w:rPr>
                <w:rFonts w:hint="eastAsia" w:ascii="宋体" w:hAnsi="宋体" w:eastAsia="宋体" w:cs="宋体"/>
                <w:i w:val="0"/>
                <w:iCs w:val="0"/>
                <w:caps w:val="0"/>
                <w:color w:val="2B2B2B"/>
                <w:spacing w:val="0"/>
                <w:sz w:val="24"/>
                <w:szCs w:val="24"/>
                <w:lang w:val="en-US" w:eastAsia="zh-CN"/>
              </w:rPr>
              <w:t>11</w:t>
            </w:r>
            <w:r>
              <w:rPr>
                <w:rFonts w:hint="eastAsia" w:ascii="宋体" w:hAnsi="宋体" w:eastAsia="宋体" w:cs="宋体"/>
                <w:i w:val="0"/>
                <w:iCs w:val="0"/>
                <w:caps w:val="0"/>
                <w:color w:val="2B2B2B"/>
                <w:spacing w:val="0"/>
                <w:sz w:val="24"/>
                <w:szCs w:val="24"/>
              </w:rPr>
              <w:t>-1</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 xml:space="preserve">;较差 </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10</w:t>
            </w:r>
            <w:r>
              <w:rPr>
                <w:rFonts w:hint="eastAsia" w:ascii="宋体" w:hAnsi="宋体" w:eastAsia="宋体" w:cs="宋体"/>
                <w:i w:val="0"/>
                <w:iCs w:val="0"/>
                <w:caps w:val="0"/>
                <w:color w:val="2B2B2B"/>
                <w:spacing w:val="0"/>
                <w:sz w:val="24"/>
                <w:szCs w:val="24"/>
              </w:rPr>
              <w:t>。</w:t>
            </w:r>
          </w:p>
          <w:p w14:paraId="2200E81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2、人员配备依据:根据参选单位对本项目配备人员的人数、资历、资</w:t>
            </w:r>
            <w:bookmarkStart w:id="0" w:name="_GoBack"/>
            <w:bookmarkEnd w:id="0"/>
            <w:r>
              <w:rPr>
                <w:rFonts w:hint="eastAsia" w:ascii="宋体" w:hAnsi="宋体" w:eastAsia="宋体" w:cs="宋体"/>
                <w:i w:val="0"/>
                <w:iCs w:val="0"/>
                <w:caps w:val="0"/>
                <w:color w:val="2B2B2B"/>
                <w:spacing w:val="0"/>
                <w:sz w:val="24"/>
                <w:szCs w:val="24"/>
              </w:rPr>
              <w:t>质。评分标准:合理8-10;基本合理5-7;不合理 0-4。</w:t>
            </w:r>
          </w:p>
        </w:tc>
      </w:tr>
      <w:tr w14:paraId="770E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429" w:type="dxa"/>
            <w:vMerge w:val="continue"/>
            <w:vAlign w:val="center"/>
          </w:tcPr>
          <w:p w14:paraId="491239A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p>
        </w:tc>
        <w:tc>
          <w:tcPr>
            <w:tcW w:w="2140" w:type="dxa"/>
            <w:vAlign w:val="center"/>
          </w:tcPr>
          <w:p w14:paraId="4612D6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lang w:val="en-US" w:eastAsia="zh-CN"/>
              </w:rPr>
              <w:t>类似业绩</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30</w:t>
            </w:r>
            <w:r>
              <w:rPr>
                <w:rFonts w:hint="eastAsia" w:ascii="宋体" w:hAnsi="宋体" w:eastAsia="宋体" w:cs="宋体"/>
                <w:i w:val="0"/>
                <w:iCs w:val="0"/>
                <w:caps w:val="0"/>
                <w:color w:val="2B2B2B"/>
                <w:spacing w:val="0"/>
                <w:sz w:val="24"/>
                <w:szCs w:val="24"/>
              </w:rPr>
              <w:t>分）</w:t>
            </w:r>
          </w:p>
        </w:tc>
        <w:tc>
          <w:tcPr>
            <w:tcW w:w="5838" w:type="dxa"/>
            <w:vAlign w:val="center"/>
          </w:tcPr>
          <w:p w14:paraId="53D240D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i w:val="0"/>
                <w:iCs w:val="0"/>
                <w:caps w:val="0"/>
                <w:color w:val="2B2B2B"/>
                <w:spacing w:val="0"/>
                <w:sz w:val="24"/>
                <w:szCs w:val="24"/>
              </w:rPr>
            </w:pPr>
          </w:p>
          <w:p w14:paraId="144228B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提供同类业绩每个得</w:t>
            </w:r>
            <w:r>
              <w:rPr>
                <w:rFonts w:hint="eastAsia" w:ascii="宋体" w:hAnsi="宋体" w:eastAsia="宋体" w:cs="宋体"/>
                <w:i w:val="0"/>
                <w:iCs w:val="0"/>
                <w:caps w:val="0"/>
                <w:color w:val="2B2B2B"/>
                <w:spacing w:val="0"/>
                <w:sz w:val="24"/>
                <w:szCs w:val="24"/>
                <w:lang w:val="en-US" w:eastAsia="zh-CN"/>
              </w:rPr>
              <w:t>6</w:t>
            </w:r>
            <w:r>
              <w:rPr>
                <w:rFonts w:hint="eastAsia" w:ascii="宋体" w:hAnsi="宋体" w:eastAsia="宋体" w:cs="宋体"/>
                <w:i w:val="0"/>
                <w:iCs w:val="0"/>
                <w:caps w:val="0"/>
                <w:color w:val="2B2B2B"/>
                <w:spacing w:val="0"/>
                <w:sz w:val="24"/>
                <w:szCs w:val="24"/>
              </w:rPr>
              <w:t>分。</w:t>
            </w:r>
          </w:p>
          <w:p w14:paraId="1DF57D0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i w:val="0"/>
                <w:iCs w:val="0"/>
                <w:caps w:val="0"/>
                <w:color w:val="2B2B2B"/>
                <w:spacing w:val="0"/>
                <w:sz w:val="24"/>
                <w:szCs w:val="24"/>
              </w:rPr>
            </w:pPr>
          </w:p>
        </w:tc>
      </w:tr>
      <w:tr w14:paraId="3AA1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29" w:type="dxa"/>
            <w:vAlign w:val="center"/>
          </w:tcPr>
          <w:p w14:paraId="6F7631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lang w:val="en-US" w:eastAsia="zh-CN"/>
              </w:rPr>
              <w:t>比选</w:t>
            </w:r>
            <w:r>
              <w:rPr>
                <w:rFonts w:hint="eastAsia" w:ascii="宋体" w:hAnsi="宋体" w:eastAsia="宋体" w:cs="宋体"/>
                <w:i w:val="0"/>
                <w:iCs w:val="0"/>
                <w:caps w:val="0"/>
                <w:color w:val="2B2B2B"/>
                <w:spacing w:val="0"/>
                <w:sz w:val="24"/>
                <w:szCs w:val="24"/>
              </w:rPr>
              <w:t>报价</w:t>
            </w:r>
          </w:p>
          <w:p w14:paraId="4C30BDF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40</w:t>
            </w:r>
            <w:r>
              <w:rPr>
                <w:rFonts w:hint="eastAsia" w:ascii="宋体" w:hAnsi="宋体" w:eastAsia="宋体" w:cs="宋体"/>
                <w:i w:val="0"/>
                <w:iCs w:val="0"/>
                <w:caps w:val="0"/>
                <w:color w:val="2B2B2B"/>
                <w:spacing w:val="0"/>
                <w:sz w:val="24"/>
                <w:szCs w:val="24"/>
              </w:rPr>
              <w:t>分）</w:t>
            </w:r>
          </w:p>
        </w:tc>
        <w:tc>
          <w:tcPr>
            <w:tcW w:w="2140" w:type="dxa"/>
            <w:vAlign w:val="center"/>
          </w:tcPr>
          <w:p w14:paraId="1260AA8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报价（</w:t>
            </w:r>
            <w:r>
              <w:rPr>
                <w:rFonts w:hint="eastAsia" w:ascii="宋体" w:hAnsi="宋体" w:eastAsia="宋体" w:cs="宋体"/>
                <w:i w:val="0"/>
                <w:iCs w:val="0"/>
                <w:caps w:val="0"/>
                <w:color w:val="2B2B2B"/>
                <w:spacing w:val="0"/>
                <w:sz w:val="24"/>
                <w:szCs w:val="24"/>
                <w:lang w:val="en-US" w:eastAsia="zh-CN"/>
              </w:rPr>
              <w:t>40</w:t>
            </w:r>
            <w:r>
              <w:rPr>
                <w:rFonts w:hint="eastAsia" w:ascii="宋体" w:hAnsi="宋体" w:eastAsia="宋体" w:cs="宋体"/>
                <w:i w:val="0"/>
                <w:iCs w:val="0"/>
                <w:caps w:val="0"/>
                <w:color w:val="2B2B2B"/>
                <w:spacing w:val="0"/>
                <w:sz w:val="24"/>
                <w:szCs w:val="24"/>
              </w:rPr>
              <w:t>分）</w:t>
            </w:r>
          </w:p>
        </w:tc>
        <w:tc>
          <w:tcPr>
            <w:tcW w:w="5838" w:type="dxa"/>
            <w:vAlign w:val="center"/>
          </w:tcPr>
          <w:p w14:paraId="0B6801C4">
            <w:pPr>
              <w:snapToGrid w:val="0"/>
              <w:spacing w:line="240" w:lineRule="auto"/>
              <w:rPr>
                <w:rFonts w:hint="eastAsia" w:ascii="宋体" w:hAnsi="宋体" w:eastAsia="宋体" w:cs="宋体"/>
                <w:i w:val="0"/>
                <w:iCs w:val="0"/>
                <w:caps w:val="0"/>
                <w:color w:val="2B2B2B"/>
                <w:spacing w:val="0"/>
                <w:kern w:val="0"/>
                <w:sz w:val="24"/>
                <w:szCs w:val="24"/>
                <w:lang w:val="en-US" w:eastAsia="zh-CN" w:bidi="ar"/>
              </w:rPr>
            </w:pPr>
            <w:r>
              <w:rPr>
                <w:rFonts w:hint="eastAsia" w:ascii="宋体" w:hAnsi="宋体" w:eastAsia="宋体" w:cs="宋体"/>
                <w:i w:val="0"/>
                <w:iCs w:val="0"/>
                <w:caps w:val="0"/>
                <w:color w:val="2B2B2B"/>
                <w:spacing w:val="0"/>
                <w:kern w:val="0"/>
                <w:sz w:val="24"/>
                <w:szCs w:val="24"/>
                <w:lang w:val="en-US" w:eastAsia="zh-CN" w:bidi="ar"/>
              </w:rPr>
              <w:t>满足招标文件要求且最低的有效评标价为评标的基准价得满分40分，其它供应商的价格分按照下列公式计算：投标报价得分=（评标基准价÷评标价）×100%×40。</w:t>
            </w:r>
          </w:p>
          <w:p w14:paraId="213F224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kern w:val="0"/>
                <w:sz w:val="24"/>
                <w:szCs w:val="24"/>
                <w:lang w:val="en-US" w:eastAsia="zh-CN" w:bidi="ar"/>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bl>
    <w:p w14:paraId="23EC07E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rPr>
          <w:sz w:val="24"/>
          <w:szCs w:val="24"/>
        </w:rPr>
      </w:pPr>
      <w:r>
        <w:rPr>
          <w:rFonts w:hint="eastAsia" w:ascii="宋体" w:hAnsi="宋体" w:eastAsia="宋体" w:cs="宋体"/>
          <w:i w:val="0"/>
          <w:iCs w:val="0"/>
          <w:caps w:val="0"/>
          <w:color w:val="2B2B2B"/>
          <w:spacing w:val="0"/>
          <w:sz w:val="24"/>
          <w:szCs w:val="24"/>
          <w:highlight w:val="none"/>
          <w:lang w:val="en-US" w:eastAsia="zh-CN"/>
        </w:rPr>
        <w:t>综合评分法得分最高者中选，如综合评分相同时，报价低者中选。</w:t>
      </w: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MjgxMjMyNmFhMDI1ZTYwM2RjMDQxZTNkZGIwNTIifQ=="/>
  </w:docVars>
  <w:rsids>
    <w:rsidRoot w:val="00000000"/>
    <w:rsid w:val="012B3476"/>
    <w:rsid w:val="0A5E1814"/>
    <w:rsid w:val="14A53BA2"/>
    <w:rsid w:val="1779212E"/>
    <w:rsid w:val="1D304BE4"/>
    <w:rsid w:val="1EE05B4F"/>
    <w:rsid w:val="1F2C5185"/>
    <w:rsid w:val="20F45451"/>
    <w:rsid w:val="230D6F81"/>
    <w:rsid w:val="26E66850"/>
    <w:rsid w:val="27721DCC"/>
    <w:rsid w:val="29871AEB"/>
    <w:rsid w:val="2AB253C7"/>
    <w:rsid w:val="2BDE3D91"/>
    <w:rsid w:val="2EBC18D7"/>
    <w:rsid w:val="2F2D046C"/>
    <w:rsid w:val="2FC242FE"/>
    <w:rsid w:val="32CF5408"/>
    <w:rsid w:val="34D76ADF"/>
    <w:rsid w:val="36344E82"/>
    <w:rsid w:val="36F30530"/>
    <w:rsid w:val="37D01583"/>
    <w:rsid w:val="38B00A63"/>
    <w:rsid w:val="46916636"/>
    <w:rsid w:val="4B2E50F8"/>
    <w:rsid w:val="55CD7E0B"/>
    <w:rsid w:val="56112F2F"/>
    <w:rsid w:val="5F292E8D"/>
    <w:rsid w:val="665C5C0C"/>
    <w:rsid w:val="674638D0"/>
    <w:rsid w:val="68A92CDA"/>
    <w:rsid w:val="6D693A75"/>
    <w:rsid w:val="74DC7D7A"/>
    <w:rsid w:val="754B25EE"/>
    <w:rsid w:val="7F41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1"/>
    <w:pPr>
      <w:ind w:left="240"/>
    </w:pPr>
    <w:rPr>
      <w:sz w:val="21"/>
      <w:szCs w:val="21"/>
    </w:rPr>
  </w:style>
  <w:style w:type="paragraph" w:styleId="4">
    <w:name w:val="Body Text 3"/>
    <w:basedOn w:val="1"/>
    <w:next w:val="5"/>
    <w:qFormat/>
    <w:uiPriority w:val="0"/>
    <w:rPr>
      <w:rFonts w:ascii="宋体"/>
      <w:sz w:val="24"/>
      <w:szCs w:val="20"/>
    </w:rPr>
  </w:style>
  <w:style w:type="paragraph" w:styleId="5">
    <w:name w:val="toc 8"/>
    <w:basedOn w:val="1"/>
    <w:next w:val="1"/>
    <w:semiHidden/>
    <w:qFormat/>
    <w:uiPriority w:val="0"/>
    <w:pPr>
      <w:ind w:left="2940" w:leftChars="1400"/>
    </w:pPr>
  </w:style>
  <w:style w:type="paragraph" w:styleId="6">
    <w:name w:val="Normal Indent"/>
    <w:basedOn w:val="1"/>
    <w:next w:val="7"/>
    <w:qFormat/>
    <w:uiPriority w:val="0"/>
    <w:pPr>
      <w:widowControl w:val="0"/>
      <w:autoSpaceDE/>
      <w:autoSpaceDN/>
      <w:spacing w:before="0" w:after="0" w:line="240" w:lineRule="auto"/>
      <w:ind w:left="0" w:firstLine="420"/>
      <w:jc w:val="both"/>
    </w:pPr>
    <w:rPr>
      <w:rFonts w:ascii="Times New Roman" w:eastAsia="宋体"/>
      <w:sz w:val="21"/>
    </w:rPr>
  </w:style>
  <w:style w:type="paragraph" w:customStyle="1" w:styleId="7">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8">
    <w:name w:val="Body Text Indent"/>
    <w:basedOn w:val="1"/>
    <w:next w:val="6"/>
    <w:qFormat/>
    <w:uiPriority w:val="0"/>
    <w:pPr>
      <w:widowControl w:val="0"/>
      <w:autoSpaceDE/>
      <w:autoSpaceDN/>
      <w:spacing w:before="0" w:after="120" w:line="240" w:lineRule="auto"/>
      <w:ind w:left="420" w:firstLine="0"/>
      <w:jc w:val="both"/>
    </w:pPr>
    <w:rPr>
      <w:rFonts w:ascii="Times New Roman" w:eastAsia="宋体"/>
      <w:sz w:val="21"/>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8"/>
    <w:next w:val="1"/>
    <w:qFormat/>
    <w:uiPriority w:val="0"/>
    <w:pPr>
      <w:spacing w:after="120" w:line="440" w:lineRule="exact"/>
      <w:ind w:left="420" w:leftChars="200" w:firstLine="210" w:firstLineChars="200"/>
    </w:pPr>
    <w:rPr>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671</Characters>
  <Lines>0</Lines>
  <Paragraphs>0</Paragraphs>
  <TotalTime>1</TotalTime>
  <ScaleCrop>false</ScaleCrop>
  <LinksUpToDate>false</LinksUpToDate>
  <CharactersWithSpaces>673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2023-10-26T01:22:00Z</dcterms:created>
  <dc:creator>CMGE-PC</dc:creator>
  <cp:lastModifiedBy>毛冰涛</cp:lastModifiedBy>
  <dcterms:modified xsi:type="dcterms:W3CDTF">2024-11-05T08:30:11Z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97641756FCE84BCAAB704F521997B641_13</vt:lpwstr>
  </property>
</Properties>
</file>