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0E8AC">
      <w:pPr>
        <w:spacing w:line="440" w:lineRule="exact"/>
        <w:jc w:val="center"/>
        <w:rPr>
          <w:rFonts w:hint="default" w:ascii="楷体" w:hAnsi="楷体" w:eastAsia="宋体" w:cs="楷体"/>
          <w:b/>
          <w:sz w:val="32"/>
          <w:szCs w:val="32"/>
          <w:lang w:val="en-US" w:eastAsia="zh-CN"/>
        </w:rPr>
      </w:pPr>
      <w:r>
        <w:rPr>
          <w:rFonts w:hint="eastAsia" w:ascii="宋体" w:hAnsi="宋体" w:eastAsia="宋体" w:cs="宋体"/>
          <w:b/>
          <w:sz w:val="32"/>
          <w:szCs w:val="32"/>
        </w:rPr>
        <w:t>详细评</w:t>
      </w:r>
      <w:r>
        <w:rPr>
          <w:rFonts w:hint="eastAsia" w:ascii="宋体" w:hAnsi="宋体" w:eastAsia="宋体" w:cs="宋体"/>
          <w:b/>
          <w:sz w:val="32"/>
          <w:szCs w:val="32"/>
          <w:lang w:val="en-US" w:eastAsia="zh-CN"/>
        </w:rPr>
        <w:t>分标准</w:t>
      </w:r>
    </w:p>
    <w:tbl>
      <w:tblPr>
        <w:tblStyle w:val="4"/>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72"/>
        <w:gridCol w:w="778"/>
        <w:gridCol w:w="5236"/>
        <w:gridCol w:w="1495"/>
      </w:tblGrid>
      <w:tr w14:paraId="77DD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94" w:type="dxa"/>
            <w:vMerge w:val="restart"/>
            <w:noWrap w:val="0"/>
            <w:vAlign w:val="center"/>
          </w:tcPr>
          <w:p w14:paraId="6A07D596">
            <w:pPr>
              <w:jc w:val="center"/>
              <w:rPr>
                <w:rFonts w:ascii="宋体" w:hAnsi="宋体"/>
                <w:szCs w:val="21"/>
              </w:rPr>
            </w:pPr>
            <w:r>
              <w:rPr>
                <w:rFonts w:hint="eastAsia" w:ascii="宋体" w:hAnsi="宋体"/>
                <w:szCs w:val="21"/>
              </w:rPr>
              <w:t>序号</w:t>
            </w:r>
          </w:p>
        </w:tc>
        <w:tc>
          <w:tcPr>
            <w:tcW w:w="1372" w:type="dxa"/>
            <w:vMerge w:val="restart"/>
            <w:noWrap w:val="0"/>
            <w:vAlign w:val="center"/>
          </w:tcPr>
          <w:p w14:paraId="328105B1">
            <w:pPr>
              <w:jc w:val="center"/>
              <w:rPr>
                <w:rFonts w:ascii="宋体" w:hAnsi="宋体"/>
                <w:szCs w:val="21"/>
              </w:rPr>
            </w:pPr>
            <w:r>
              <w:rPr>
                <w:rFonts w:hint="eastAsia" w:ascii="宋体" w:hAnsi="宋体"/>
                <w:szCs w:val="21"/>
              </w:rPr>
              <w:t>评分标准</w:t>
            </w:r>
          </w:p>
        </w:tc>
        <w:tc>
          <w:tcPr>
            <w:tcW w:w="778" w:type="dxa"/>
            <w:vMerge w:val="restart"/>
            <w:noWrap w:val="0"/>
            <w:vAlign w:val="center"/>
          </w:tcPr>
          <w:p w14:paraId="5BB72DF9">
            <w:pPr>
              <w:jc w:val="center"/>
              <w:rPr>
                <w:rFonts w:ascii="宋体" w:hAnsi="宋体"/>
                <w:szCs w:val="21"/>
              </w:rPr>
            </w:pPr>
            <w:r>
              <w:rPr>
                <w:rFonts w:hint="eastAsia" w:ascii="宋体" w:hAnsi="宋体"/>
                <w:szCs w:val="21"/>
              </w:rPr>
              <w:t>满分</w:t>
            </w:r>
          </w:p>
        </w:tc>
        <w:tc>
          <w:tcPr>
            <w:tcW w:w="5236" w:type="dxa"/>
            <w:vMerge w:val="restart"/>
            <w:noWrap w:val="0"/>
            <w:vAlign w:val="center"/>
          </w:tcPr>
          <w:p w14:paraId="7DAA3C6E">
            <w:pPr>
              <w:jc w:val="center"/>
              <w:rPr>
                <w:rFonts w:ascii="宋体" w:hAnsi="宋体"/>
                <w:szCs w:val="21"/>
              </w:rPr>
            </w:pPr>
            <w:r>
              <w:rPr>
                <w:rFonts w:hint="eastAsia" w:ascii="宋体" w:hAnsi="宋体"/>
                <w:szCs w:val="21"/>
              </w:rPr>
              <w:t>评分标准</w:t>
            </w:r>
          </w:p>
        </w:tc>
        <w:tc>
          <w:tcPr>
            <w:tcW w:w="1495" w:type="dxa"/>
            <w:vMerge w:val="restart"/>
            <w:noWrap w:val="0"/>
            <w:vAlign w:val="center"/>
          </w:tcPr>
          <w:p w14:paraId="7136AB32">
            <w:pPr>
              <w:jc w:val="center"/>
              <w:rPr>
                <w:rFonts w:ascii="宋体" w:hAnsi="宋体"/>
                <w:szCs w:val="21"/>
              </w:rPr>
            </w:pPr>
            <w:r>
              <w:rPr>
                <w:rFonts w:hint="eastAsia" w:ascii="宋体" w:hAnsi="宋体"/>
                <w:szCs w:val="21"/>
              </w:rPr>
              <w:t>得分</w:t>
            </w:r>
          </w:p>
        </w:tc>
      </w:tr>
      <w:tr w14:paraId="795F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dxa"/>
            <w:vMerge w:val="continue"/>
            <w:noWrap w:val="0"/>
            <w:vAlign w:val="center"/>
          </w:tcPr>
          <w:p w14:paraId="21D37BAE">
            <w:pPr>
              <w:spacing w:line="280" w:lineRule="exact"/>
              <w:jc w:val="center"/>
              <w:rPr>
                <w:rFonts w:ascii="宋体" w:hAnsi="宋体"/>
                <w:szCs w:val="21"/>
              </w:rPr>
            </w:pPr>
          </w:p>
        </w:tc>
        <w:tc>
          <w:tcPr>
            <w:tcW w:w="1372" w:type="dxa"/>
            <w:vMerge w:val="continue"/>
            <w:noWrap w:val="0"/>
            <w:vAlign w:val="center"/>
          </w:tcPr>
          <w:p w14:paraId="0C2E0508">
            <w:pPr>
              <w:spacing w:line="280" w:lineRule="exact"/>
              <w:jc w:val="center"/>
              <w:rPr>
                <w:rFonts w:ascii="宋体" w:hAnsi="宋体"/>
                <w:szCs w:val="21"/>
              </w:rPr>
            </w:pPr>
          </w:p>
        </w:tc>
        <w:tc>
          <w:tcPr>
            <w:tcW w:w="778" w:type="dxa"/>
            <w:vMerge w:val="continue"/>
            <w:noWrap w:val="0"/>
            <w:vAlign w:val="center"/>
          </w:tcPr>
          <w:p w14:paraId="6859EB76">
            <w:pPr>
              <w:spacing w:line="280" w:lineRule="exact"/>
              <w:jc w:val="center"/>
              <w:rPr>
                <w:rFonts w:ascii="宋体" w:hAnsi="宋体"/>
                <w:szCs w:val="21"/>
              </w:rPr>
            </w:pPr>
          </w:p>
        </w:tc>
        <w:tc>
          <w:tcPr>
            <w:tcW w:w="5236" w:type="dxa"/>
            <w:vMerge w:val="continue"/>
            <w:noWrap w:val="0"/>
            <w:vAlign w:val="center"/>
          </w:tcPr>
          <w:p w14:paraId="1BE8E0E8">
            <w:pPr>
              <w:spacing w:line="280" w:lineRule="exact"/>
              <w:jc w:val="center"/>
              <w:rPr>
                <w:rFonts w:ascii="宋体" w:hAnsi="宋体"/>
                <w:szCs w:val="21"/>
              </w:rPr>
            </w:pPr>
          </w:p>
        </w:tc>
        <w:tc>
          <w:tcPr>
            <w:tcW w:w="1495" w:type="dxa"/>
            <w:vMerge w:val="continue"/>
            <w:noWrap w:val="0"/>
            <w:vAlign w:val="center"/>
          </w:tcPr>
          <w:p w14:paraId="0808F72D">
            <w:pPr>
              <w:spacing w:line="280" w:lineRule="exact"/>
              <w:jc w:val="center"/>
              <w:rPr>
                <w:rFonts w:ascii="宋体" w:hAnsi="宋体"/>
                <w:szCs w:val="21"/>
              </w:rPr>
            </w:pPr>
          </w:p>
        </w:tc>
      </w:tr>
      <w:tr w14:paraId="5648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694" w:type="dxa"/>
            <w:noWrap w:val="0"/>
            <w:vAlign w:val="center"/>
          </w:tcPr>
          <w:p w14:paraId="6A088680">
            <w:pPr>
              <w:spacing w:line="280" w:lineRule="exact"/>
              <w:jc w:val="center"/>
              <w:rPr>
                <w:rFonts w:ascii="宋体" w:hAnsi="宋体"/>
                <w:szCs w:val="21"/>
              </w:rPr>
            </w:pPr>
            <w:r>
              <w:rPr>
                <w:rFonts w:hint="eastAsia" w:ascii="宋体" w:hAnsi="宋体"/>
                <w:szCs w:val="21"/>
              </w:rPr>
              <w:t>1</w:t>
            </w:r>
          </w:p>
        </w:tc>
        <w:tc>
          <w:tcPr>
            <w:tcW w:w="1372" w:type="dxa"/>
            <w:noWrap w:val="0"/>
            <w:vAlign w:val="center"/>
          </w:tcPr>
          <w:p w14:paraId="0510F793">
            <w:pPr>
              <w:spacing w:line="280" w:lineRule="exact"/>
              <w:jc w:val="center"/>
              <w:rPr>
                <w:rFonts w:ascii="宋体" w:hAnsi="宋体"/>
                <w:szCs w:val="21"/>
              </w:rPr>
            </w:pPr>
            <w:r>
              <w:rPr>
                <w:rFonts w:hint="eastAsia" w:ascii="宋体" w:hAnsi="宋体"/>
                <w:szCs w:val="21"/>
              </w:rPr>
              <w:t>报价</w:t>
            </w:r>
          </w:p>
        </w:tc>
        <w:tc>
          <w:tcPr>
            <w:tcW w:w="778" w:type="dxa"/>
            <w:noWrap w:val="0"/>
            <w:vAlign w:val="center"/>
          </w:tcPr>
          <w:p w14:paraId="2F88E6EE">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40分</w:t>
            </w:r>
          </w:p>
        </w:tc>
        <w:tc>
          <w:tcPr>
            <w:tcW w:w="5236" w:type="dxa"/>
            <w:noWrap w:val="0"/>
            <w:vAlign w:val="center"/>
          </w:tcPr>
          <w:p w14:paraId="1AD75181">
            <w:pPr>
              <w:pStyle w:val="3"/>
              <w:widowControl/>
              <w:shd w:val="clear" w:color="auto" w:fill="FFFFFF"/>
              <w:spacing w:before="0" w:beforeAutospacing="0" w:after="0" w:afterAutospacing="0"/>
              <w:ind w:firstLine="420" w:firstLineChars="200"/>
              <w:rPr>
                <w:rFonts w:hint="eastAsia"/>
                <w:sz w:val="21"/>
                <w:szCs w:val="21"/>
                <w:vertAlign w:val="baseline"/>
                <w:lang w:eastAsia="zh-CN"/>
              </w:rPr>
            </w:pPr>
            <w:r>
              <w:rPr>
                <w:rFonts w:hint="eastAsia"/>
                <w:sz w:val="21"/>
                <w:szCs w:val="21"/>
                <w:vertAlign w:val="baseline"/>
              </w:rPr>
              <w:t>投标报价</w:t>
            </w:r>
            <w:r>
              <w:rPr>
                <w:rFonts w:hint="eastAsia"/>
                <w:sz w:val="21"/>
                <w:szCs w:val="21"/>
                <w:vertAlign w:val="baseline"/>
                <w:lang w:val="en-US" w:eastAsia="zh-CN"/>
              </w:rPr>
              <w:t>费率</w:t>
            </w:r>
            <w:r>
              <w:rPr>
                <w:rFonts w:hint="eastAsia"/>
                <w:sz w:val="21"/>
                <w:szCs w:val="21"/>
                <w:vertAlign w:val="baseline"/>
              </w:rPr>
              <w:t>与评标基准价</w:t>
            </w:r>
            <w:r>
              <w:rPr>
                <w:rFonts w:hint="eastAsia"/>
                <w:sz w:val="21"/>
                <w:szCs w:val="21"/>
                <w:vertAlign w:val="baseline"/>
                <w:lang w:val="en-US" w:eastAsia="zh-CN"/>
              </w:rPr>
              <w:t>费率</w:t>
            </w:r>
            <w:r>
              <w:rPr>
                <w:rFonts w:hint="eastAsia"/>
                <w:sz w:val="21"/>
                <w:szCs w:val="21"/>
                <w:vertAlign w:val="baseline"/>
              </w:rPr>
              <w:t>一致得标准分，每比评标基准价</w:t>
            </w:r>
            <w:r>
              <w:rPr>
                <w:rFonts w:hint="eastAsia"/>
                <w:sz w:val="21"/>
                <w:szCs w:val="21"/>
                <w:vertAlign w:val="baseline"/>
                <w:lang w:val="en-US" w:eastAsia="zh-CN"/>
              </w:rPr>
              <w:t>费率</w:t>
            </w:r>
            <w:r>
              <w:rPr>
                <w:rFonts w:hint="eastAsia"/>
                <w:sz w:val="21"/>
                <w:szCs w:val="21"/>
                <w:vertAlign w:val="baseline"/>
              </w:rPr>
              <w:t>高一个百分点减</w:t>
            </w:r>
            <w:r>
              <w:rPr>
                <w:rFonts w:hint="eastAsia"/>
                <w:sz w:val="21"/>
                <w:szCs w:val="21"/>
                <w:vertAlign w:val="baseline"/>
                <w:lang w:val="en-US" w:eastAsia="zh-CN"/>
              </w:rPr>
              <w:t>2</w:t>
            </w:r>
            <w:r>
              <w:rPr>
                <w:rFonts w:hint="eastAsia"/>
                <w:sz w:val="21"/>
                <w:szCs w:val="21"/>
                <w:vertAlign w:val="baseline"/>
              </w:rPr>
              <w:t>分，每低一个百分点减</w:t>
            </w:r>
            <w:r>
              <w:rPr>
                <w:rFonts w:hint="eastAsia"/>
                <w:sz w:val="21"/>
                <w:szCs w:val="21"/>
                <w:vertAlign w:val="baseline"/>
                <w:lang w:val="en-US" w:eastAsia="zh-CN"/>
              </w:rPr>
              <w:t>1</w:t>
            </w:r>
            <w:r>
              <w:rPr>
                <w:rFonts w:hint="eastAsia"/>
                <w:sz w:val="21"/>
                <w:szCs w:val="21"/>
                <w:vertAlign w:val="baseline"/>
              </w:rPr>
              <w:t>分，减完为止</w:t>
            </w:r>
            <w:r>
              <w:rPr>
                <w:rFonts w:hint="eastAsia"/>
                <w:sz w:val="21"/>
                <w:szCs w:val="21"/>
                <w:vertAlign w:val="baseline"/>
                <w:lang w:eastAsia="zh-CN"/>
              </w:rPr>
              <w:t>。</w:t>
            </w:r>
          </w:p>
          <w:p w14:paraId="1F790FB7">
            <w:pPr>
              <w:pStyle w:val="3"/>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eastAsia="宋体" w:cs="Times New Roman"/>
                <w:kern w:val="2"/>
                <w:sz w:val="21"/>
                <w:szCs w:val="21"/>
                <w:vertAlign w:val="baseline"/>
                <w:lang w:val="en-US" w:eastAsia="zh-CN" w:bidi="ar-SA"/>
              </w:rPr>
              <w:t>注：</w:t>
            </w:r>
            <w:r>
              <w:rPr>
                <w:rFonts w:hint="eastAsia" w:ascii="Calibri" w:hAnsi="Calibri" w:eastAsia="宋体" w:cs="Times New Roman"/>
                <w:kern w:val="2"/>
                <w:sz w:val="21"/>
                <w:szCs w:val="21"/>
                <w:vertAlign w:val="baseline"/>
                <w:lang w:val="en-US" w:eastAsia="zh-CN" w:bidi="ar-SA"/>
              </w:rPr>
              <w:t>当有效报价＞20家时,去掉四个最高和四个最低报价后取所有有效报价的平均值做为评标基准价费率；</w:t>
            </w:r>
          </w:p>
          <w:p w14:paraId="059FCDCC">
            <w:pPr>
              <w:pStyle w:val="3"/>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ascii="Calibri" w:hAnsi="Calibri" w:eastAsia="宋体" w:cs="Times New Roman"/>
                <w:kern w:val="2"/>
                <w:sz w:val="21"/>
                <w:szCs w:val="21"/>
                <w:vertAlign w:val="baseline"/>
                <w:lang w:val="en-US" w:eastAsia="zh-CN" w:bidi="ar-SA"/>
              </w:rPr>
              <w:t>当有效报价＞10、≤20家时，去掉两个最高和两个最低报价后取所有有效报价的平均值做为评标基准价费率；当有效报价＞5家、≤10家，去掉一个最高和一个最低后取所有有效报价的平均值做为评标基准价费率；</w:t>
            </w:r>
          </w:p>
          <w:p w14:paraId="39564229">
            <w:pPr>
              <w:spacing w:line="280" w:lineRule="exact"/>
              <w:rPr>
                <w:rFonts w:ascii="Times New Roman" w:hAnsi="Times New Roman" w:cs="Times New Roman"/>
              </w:rPr>
            </w:pPr>
            <w:r>
              <w:rPr>
                <w:rFonts w:hint="eastAsia" w:ascii="Calibri" w:hAnsi="Calibri" w:eastAsia="宋体" w:cs="Times New Roman"/>
                <w:kern w:val="2"/>
                <w:sz w:val="21"/>
                <w:szCs w:val="21"/>
                <w:vertAlign w:val="baseline"/>
                <w:lang w:val="en-US" w:eastAsia="zh-CN" w:bidi="ar-SA"/>
              </w:rPr>
              <w:t>当有效报价≤5家时，取所有有效报价的平均值做为评标基准价费率。</w:t>
            </w:r>
          </w:p>
        </w:tc>
        <w:tc>
          <w:tcPr>
            <w:tcW w:w="1495" w:type="dxa"/>
            <w:noWrap w:val="0"/>
            <w:vAlign w:val="center"/>
          </w:tcPr>
          <w:p w14:paraId="4E72F168">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40</w:t>
            </w:r>
          </w:p>
        </w:tc>
      </w:tr>
      <w:tr w14:paraId="22969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694" w:type="dxa"/>
            <w:vMerge w:val="restart"/>
            <w:tcBorders>
              <w:top w:val="single" w:color="000000" w:sz="8" w:space="0"/>
              <w:left w:val="single" w:color="000000" w:sz="8" w:space="0"/>
              <w:right w:val="single" w:color="000000" w:sz="8" w:space="0"/>
            </w:tcBorders>
            <w:shd w:val="clear" w:color="auto" w:fill="FFFFFF"/>
            <w:noWrap w:val="0"/>
            <w:vAlign w:val="center"/>
          </w:tcPr>
          <w:p w14:paraId="30F13002">
            <w:pPr>
              <w:tabs>
                <w:tab w:val="left" w:pos="360"/>
              </w:tabs>
              <w:jc w:val="center"/>
              <w:rPr>
                <w:rFonts w:ascii="宋体" w:hAnsi="宋体"/>
                <w:szCs w:val="21"/>
              </w:rPr>
            </w:pPr>
            <w:r>
              <w:rPr>
                <w:rFonts w:hint="eastAsia" w:ascii="宋体" w:hAnsi="宋体"/>
                <w:szCs w:val="21"/>
                <w:lang w:val="en-US" w:eastAsia="zh-CN"/>
              </w:rPr>
              <w:t>2</w:t>
            </w:r>
          </w:p>
        </w:tc>
        <w:tc>
          <w:tcPr>
            <w:tcW w:w="1372" w:type="dxa"/>
            <w:vMerge w:val="restart"/>
            <w:tcBorders>
              <w:top w:val="single" w:color="000000" w:sz="8" w:space="0"/>
              <w:left w:val="single" w:color="000000" w:sz="8" w:space="0"/>
              <w:right w:val="single" w:color="000000" w:sz="8" w:space="0"/>
            </w:tcBorders>
            <w:shd w:val="clear" w:color="auto" w:fill="FFFFFF"/>
            <w:noWrap w:val="0"/>
            <w:vAlign w:val="center"/>
          </w:tcPr>
          <w:p w14:paraId="69BC78EE">
            <w:pPr>
              <w:jc w:val="center"/>
              <w:rPr>
                <w:rFonts w:ascii="宋体" w:hAnsi="宋体"/>
                <w:szCs w:val="21"/>
              </w:rPr>
            </w:pPr>
            <w:r>
              <w:rPr>
                <w:rFonts w:hint="eastAsia" w:ascii="宋体" w:hAnsi="宋体"/>
                <w:szCs w:val="21"/>
              </w:rPr>
              <w:t>类似业绩</w:t>
            </w:r>
          </w:p>
        </w:tc>
        <w:tc>
          <w:tcPr>
            <w:tcW w:w="778" w:type="dxa"/>
            <w:vMerge w:val="restart"/>
            <w:tcBorders>
              <w:top w:val="single" w:color="000000" w:sz="8" w:space="0"/>
              <w:left w:val="single" w:color="000000" w:sz="8" w:space="0"/>
              <w:right w:val="single" w:color="000000" w:sz="8" w:space="0"/>
            </w:tcBorders>
            <w:shd w:val="clear" w:color="auto" w:fill="FFFFFF"/>
            <w:noWrap w:val="0"/>
            <w:vAlign w:val="center"/>
          </w:tcPr>
          <w:p w14:paraId="59CDE807">
            <w:pPr>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6731" w:type="dxa"/>
            <w:gridSpan w:val="2"/>
            <w:tcBorders>
              <w:top w:val="single" w:color="000000" w:sz="8" w:space="0"/>
              <w:left w:val="single" w:color="000000" w:sz="8" w:space="0"/>
              <w:bottom w:val="single" w:color="auto" w:sz="4" w:space="0"/>
              <w:right w:val="single" w:color="000000" w:sz="8" w:space="0"/>
            </w:tcBorders>
            <w:shd w:val="clear" w:color="auto" w:fill="FFFFFF"/>
            <w:noWrap w:val="0"/>
            <w:vAlign w:val="top"/>
          </w:tcPr>
          <w:p w14:paraId="31A2517A">
            <w:pPr>
              <w:spacing w:line="300" w:lineRule="auto"/>
              <w:rPr>
                <w:rFonts w:ascii="宋体" w:hAnsi="宋体"/>
                <w:szCs w:val="21"/>
              </w:rPr>
            </w:pPr>
            <w:r>
              <w:rPr>
                <w:rFonts w:hint="eastAsia" w:ascii="宋体" w:hAnsi="宋体"/>
                <w:szCs w:val="21"/>
              </w:rPr>
              <w:t>自202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日至今（已签订合同日期为准），比选申请人每具有一个</w:t>
            </w:r>
            <w:r>
              <w:rPr>
                <w:rFonts w:hint="eastAsia" w:ascii="宋体" w:hAnsi="宋体"/>
                <w:szCs w:val="21"/>
                <w:lang w:val="en-US" w:eastAsia="zh-CN"/>
              </w:rPr>
              <w:t>供热工程</w:t>
            </w:r>
            <w:r>
              <w:rPr>
                <w:rFonts w:hint="eastAsia" w:ascii="宋体" w:hAnsi="宋体"/>
                <w:szCs w:val="21"/>
              </w:rPr>
              <w:t>项目申请报告</w:t>
            </w:r>
            <w:r>
              <w:rPr>
                <w:rFonts w:hint="eastAsia" w:ascii="宋体" w:hAnsi="宋体"/>
                <w:szCs w:val="21"/>
                <w:lang w:val="en-US" w:eastAsia="zh-CN"/>
              </w:rPr>
              <w:t>编制</w:t>
            </w:r>
            <w:bookmarkStart w:id="0" w:name="_GoBack"/>
            <w:bookmarkEnd w:id="0"/>
            <w:r>
              <w:rPr>
                <w:rFonts w:hint="eastAsia" w:ascii="宋体" w:hAnsi="宋体"/>
                <w:szCs w:val="21"/>
              </w:rPr>
              <w:t>业绩的，得</w:t>
            </w:r>
            <w:r>
              <w:rPr>
                <w:rFonts w:hint="eastAsia" w:ascii="宋体" w:hAnsi="宋体"/>
                <w:szCs w:val="21"/>
                <w:lang w:val="en-US" w:eastAsia="zh-CN"/>
              </w:rPr>
              <w:t>5</w:t>
            </w:r>
            <w:r>
              <w:rPr>
                <w:rFonts w:hint="eastAsia" w:ascii="宋体" w:hAnsi="宋体"/>
                <w:szCs w:val="21"/>
              </w:rPr>
              <w:t>分，满分</w:t>
            </w:r>
            <w:r>
              <w:rPr>
                <w:rFonts w:hint="eastAsia" w:ascii="宋体" w:hAnsi="宋体"/>
                <w:szCs w:val="21"/>
                <w:lang w:val="en-US" w:eastAsia="zh-CN"/>
              </w:rPr>
              <w:t>10</w:t>
            </w:r>
            <w:r>
              <w:rPr>
                <w:rFonts w:hint="eastAsia" w:ascii="宋体" w:hAnsi="宋体"/>
                <w:szCs w:val="21"/>
              </w:rPr>
              <w:t>分。比选申请书中附合同协议书原件复印件并加盖单位公章。</w:t>
            </w:r>
          </w:p>
        </w:tc>
      </w:tr>
      <w:tr w14:paraId="37F93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14:paraId="08C376F4">
            <w:pPr>
              <w:tabs>
                <w:tab w:val="left" w:pos="360"/>
              </w:tabs>
              <w:jc w:val="center"/>
              <w:rPr>
                <w:rFonts w:hint="eastAsia" w:ascii="宋体" w:hAnsi="宋体" w:eastAsia="宋体"/>
                <w:szCs w:val="21"/>
                <w:lang w:eastAsia="zh-CN"/>
              </w:rPr>
            </w:pPr>
            <w:r>
              <w:rPr>
                <w:rFonts w:hint="eastAsia" w:ascii="宋体" w:hAnsi="宋体"/>
                <w:szCs w:val="21"/>
                <w:lang w:val="en-US" w:eastAsia="zh-CN"/>
              </w:rPr>
              <w:t>3</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14:paraId="3FB8156C">
            <w:pPr>
              <w:tabs>
                <w:tab w:val="left" w:pos="360"/>
                <w:tab w:val="left" w:pos="498"/>
              </w:tabs>
              <w:jc w:val="center"/>
              <w:rPr>
                <w:rFonts w:hint="default" w:ascii="宋体" w:hAnsi="宋体" w:eastAsia="宋体" w:cs="Microsoft JhengHei"/>
                <w:spacing w:val="-3"/>
                <w:szCs w:val="21"/>
                <w:lang w:val="en-US" w:eastAsia="zh-CN"/>
              </w:rPr>
            </w:pPr>
            <w:r>
              <w:rPr>
                <w:rFonts w:hint="eastAsia" w:ascii="宋体" w:hAnsi="宋体"/>
                <w:kern w:val="0"/>
                <w:szCs w:val="21"/>
              </w:rPr>
              <w:t>人员配备</w:t>
            </w:r>
          </w:p>
        </w:tc>
        <w:tc>
          <w:tcPr>
            <w:tcW w:w="778" w:type="dxa"/>
            <w:vMerge w:val="restart"/>
            <w:tcBorders>
              <w:top w:val="single" w:color="auto" w:sz="4" w:space="0"/>
              <w:left w:val="single" w:color="000000" w:sz="8" w:space="0"/>
              <w:right w:val="single" w:color="000000" w:sz="8" w:space="0"/>
            </w:tcBorders>
            <w:shd w:val="clear" w:color="auto" w:fill="FFFFFF"/>
            <w:noWrap w:val="0"/>
            <w:vAlign w:val="center"/>
          </w:tcPr>
          <w:p w14:paraId="571D0B29">
            <w:pPr>
              <w:tabs>
                <w:tab w:val="left" w:pos="360"/>
              </w:tabs>
              <w:jc w:val="center"/>
              <w:rPr>
                <w:rFonts w:ascii="宋体" w:hAnsi="宋体"/>
                <w:szCs w:val="21"/>
              </w:rPr>
            </w:pPr>
            <w:r>
              <w:rPr>
                <w:rFonts w:hint="eastAsia" w:ascii="宋体" w:hAnsi="宋体" w:cs="Microsoft JhengHei"/>
                <w:spacing w:val="-3"/>
                <w:szCs w:val="21"/>
                <w:lang w:val="en-US" w:eastAsia="zh-CN"/>
              </w:rPr>
              <w:t>10</w:t>
            </w:r>
            <w:r>
              <w:rPr>
                <w:rFonts w:hint="eastAsia" w:ascii="宋体" w:hAnsi="宋体" w:cs="Microsoft JhengHei"/>
                <w:spacing w:val="-3"/>
                <w:szCs w:val="21"/>
              </w:rPr>
              <w:t>分</w:t>
            </w:r>
          </w:p>
        </w:tc>
        <w:tc>
          <w:tcPr>
            <w:tcW w:w="5236" w:type="dxa"/>
            <w:tcBorders>
              <w:top w:val="single" w:color="auto" w:sz="4" w:space="0"/>
              <w:left w:val="single" w:color="000000" w:sz="8" w:space="0"/>
              <w:right w:val="single" w:color="auto" w:sz="4" w:space="0"/>
            </w:tcBorders>
            <w:shd w:val="clear" w:color="auto" w:fill="FFFFFF"/>
            <w:noWrap w:val="0"/>
            <w:vAlign w:val="center"/>
          </w:tcPr>
          <w:p w14:paraId="2E4DB04A">
            <w:pPr>
              <w:widowControl/>
              <w:jc w:val="left"/>
              <w:rPr>
                <w:rFonts w:ascii="宋体" w:hAnsi="宋体"/>
                <w:szCs w:val="21"/>
              </w:rPr>
            </w:pPr>
            <w:r>
              <w:rPr>
                <w:rFonts w:hint="eastAsia" w:ascii="宋体" w:hAnsi="宋体"/>
                <w:kern w:val="0"/>
                <w:szCs w:val="21"/>
              </w:rPr>
              <w:t>各专业人员配备齐全，人员资格较高</w:t>
            </w:r>
          </w:p>
        </w:tc>
        <w:tc>
          <w:tcPr>
            <w:tcW w:w="1495"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26E6D4CA">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14:paraId="0C328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6367E133">
            <w:pPr>
              <w:tabs>
                <w:tab w:val="left" w:pos="360"/>
              </w:tabs>
              <w:jc w:val="center"/>
              <w:rPr>
                <w:rFonts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14:paraId="10F2DF2D">
            <w:pPr>
              <w:tabs>
                <w:tab w:val="left" w:pos="360"/>
                <w:tab w:val="left" w:pos="498"/>
              </w:tabs>
              <w:jc w:val="center"/>
              <w:rPr>
                <w:rFonts w:ascii="宋体" w:hAnsi="宋体"/>
              </w:rPr>
            </w:pPr>
          </w:p>
        </w:tc>
        <w:tc>
          <w:tcPr>
            <w:tcW w:w="778" w:type="dxa"/>
            <w:vMerge w:val="continue"/>
            <w:tcBorders>
              <w:left w:val="single" w:color="000000" w:sz="8" w:space="0"/>
              <w:right w:val="single" w:color="000000" w:sz="8" w:space="0"/>
            </w:tcBorders>
            <w:shd w:val="clear" w:color="auto" w:fill="FFFFFF"/>
            <w:noWrap w:val="0"/>
            <w:vAlign w:val="center"/>
          </w:tcPr>
          <w:p w14:paraId="4C277A4B">
            <w:pPr>
              <w:tabs>
                <w:tab w:val="left" w:pos="360"/>
              </w:tabs>
              <w:jc w:val="center"/>
              <w:rPr>
                <w:rFonts w:ascii="宋体" w:hAnsi="宋体" w:cs="Microsoft JhengHei"/>
                <w:spacing w:val="-3"/>
                <w:szCs w:val="21"/>
              </w:rPr>
            </w:pPr>
          </w:p>
        </w:tc>
        <w:tc>
          <w:tcPr>
            <w:tcW w:w="523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1F3DCB60">
            <w:pPr>
              <w:widowControl/>
              <w:jc w:val="left"/>
              <w:rPr>
                <w:rFonts w:ascii="宋体" w:hAnsi="宋体"/>
                <w:szCs w:val="21"/>
              </w:rPr>
            </w:pPr>
            <w:r>
              <w:rPr>
                <w:rFonts w:hint="eastAsia" w:ascii="宋体" w:hAnsi="宋体"/>
                <w:kern w:val="0"/>
                <w:szCs w:val="21"/>
              </w:rPr>
              <w:t>各专业人员配备基本齐全，人员资格一般</w:t>
            </w:r>
          </w:p>
        </w:tc>
        <w:tc>
          <w:tcPr>
            <w:tcW w:w="1495"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54D79583">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14:paraId="2B7DE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70820B4D">
            <w:pPr>
              <w:tabs>
                <w:tab w:val="left" w:pos="360"/>
              </w:tabs>
              <w:jc w:val="center"/>
              <w:rPr>
                <w:rFonts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14:paraId="27060B22">
            <w:pPr>
              <w:tabs>
                <w:tab w:val="left" w:pos="360"/>
                <w:tab w:val="left" w:pos="498"/>
              </w:tabs>
              <w:jc w:val="center"/>
              <w:rPr>
                <w:rFonts w:ascii="宋体" w:hAnsi="宋体"/>
              </w:rPr>
            </w:pPr>
          </w:p>
        </w:tc>
        <w:tc>
          <w:tcPr>
            <w:tcW w:w="778" w:type="dxa"/>
            <w:vMerge w:val="continue"/>
            <w:tcBorders>
              <w:left w:val="single" w:color="000000" w:sz="8" w:space="0"/>
              <w:right w:val="single" w:color="000000" w:sz="8" w:space="0"/>
            </w:tcBorders>
            <w:shd w:val="clear" w:color="auto" w:fill="FFFFFF"/>
            <w:noWrap w:val="0"/>
            <w:vAlign w:val="center"/>
          </w:tcPr>
          <w:p w14:paraId="08A9566B">
            <w:pPr>
              <w:tabs>
                <w:tab w:val="left" w:pos="360"/>
              </w:tabs>
              <w:jc w:val="center"/>
              <w:rPr>
                <w:rFonts w:ascii="宋体" w:hAnsi="宋体" w:cs="Microsoft JhengHei"/>
                <w:spacing w:val="-3"/>
                <w:szCs w:val="21"/>
              </w:rPr>
            </w:pPr>
          </w:p>
        </w:tc>
        <w:tc>
          <w:tcPr>
            <w:tcW w:w="5236" w:type="dxa"/>
            <w:tcBorders>
              <w:top w:val="single" w:color="auto" w:sz="4" w:space="0"/>
              <w:left w:val="single" w:color="000000" w:sz="8" w:space="0"/>
              <w:right w:val="single" w:color="auto" w:sz="4" w:space="0"/>
            </w:tcBorders>
            <w:shd w:val="clear" w:color="auto" w:fill="FFFFFF"/>
            <w:noWrap w:val="0"/>
            <w:vAlign w:val="center"/>
          </w:tcPr>
          <w:p w14:paraId="01C7413F">
            <w:pPr>
              <w:widowControl/>
              <w:jc w:val="left"/>
              <w:rPr>
                <w:rFonts w:ascii="宋体" w:hAnsi="宋体"/>
                <w:szCs w:val="21"/>
              </w:rPr>
            </w:pPr>
            <w:r>
              <w:rPr>
                <w:rFonts w:hint="eastAsia" w:ascii="宋体" w:hAnsi="宋体"/>
                <w:kern w:val="0"/>
                <w:szCs w:val="21"/>
              </w:rPr>
              <w:t>各专业人员配备一般，人员资格较低</w:t>
            </w:r>
          </w:p>
        </w:tc>
        <w:tc>
          <w:tcPr>
            <w:tcW w:w="1495" w:type="dxa"/>
            <w:tcBorders>
              <w:top w:val="single" w:color="auto" w:sz="4" w:space="0"/>
              <w:left w:val="single" w:color="auto" w:sz="4" w:space="0"/>
              <w:right w:val="single" w:color="000000" w:sz="8" w:space="0"/>
            </w:tcBorders>
            <w:shd w:val="clear" w:color="auto" w:fill="FFFFFF"/>
            <w:noWrap w:val="0"/>
            <w:vAlign w:val="center"/>
          </w:tcPr>
          <w:p w14:paraId="5BFB4E1A">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14:paraId="1CD66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000000" w:sz="8" w:space="0"/>
              <w:left w:val="single" w:color="000000" w:sz="8" w:space="0"/>
              <w:right w:val="single" w:color="000000" w:sz="8" w:space="0"/>
            </w:tcBorders>
            <w:shd w:val="clear" w:color="auto" w:fill="FFFFFF"/>
            <w:noWrap w:val="0"/>
            <w:vAlign w:val="center"/>
          </w:tcPr>
          <w:p w14:paraId="7BE663E5">
            <w:pPr>
              <w:tabs>
                <w:tab w:val="left" w:pos="360"/>
              </w:tabs>
              <w:jc w:val="center"/>
              <w:rPr>
                <w:rFonts w:hint="eastAsia" w:ascii="宋体" w:hAnsi="宋体" w:eastAsia="宋体"/>
                <w:szCs w:val="21"/>
                <w:lang w:eastAsia="zh-CN"/>
              </w:rPr>
            </w:pPr>
            <w:r>
              <w:rPr>
                <w:rFonts w:hint="eastAsia" w:ascii="宋体" w:hAnsi="宋体"/>
                <w:szCs w:val="21"/>
                <w:lang w:val="en-US" w:eastAsia="zh-CN"/>
              </w:rPr>
              <w:t>4</w:t>
            </w:r>
          </w:p>
        </w:tc>
        <w:tc>
          <w:tcPr>
            <w:tcW w:w="1372" w:type="dxa"/>
            <w:vMerge w:val="restart"/>
            <w:tcBorders>
              <w:top w:val="single" w:color="000000" w:sz="8" w:space="0"/>
              <w:left w:val="single" w:color="000000" w:sz="8" w:space="0"/>
              <w:right w:val="single" w:color="000000" w:sz="8" w:space="0"/>
            </w:tcBorders>
            <w:shd w:val="clear" w:color="auto" w:fill="FFFFFF"/>
            <w:noWrap w:val="0"/>
            <w:vAlign w:val="center"/>
          </w:tcPr>
          <w:p w14:paraId="69BA1A3E">
            <w:pPr>
              <w:tabs>
                <w:tab w:val="left" w:pos="360"/>
                <w:tab w:val="left" w:pos="498"/>
              </w:tabs>
              <w:jc w:val="center"/>
              <w:rPr>
                <w:rFonts w:hint="eastAsia" w:ascii="宋体" w:hAnsi="宋体" w:eastAsia="宋体"/>
                <w:sz w:val="21"/>
                <w:lang w:eastAsia="zh-CN"/>
              </w:rPr>
            </w:pPr>
            <w:r>
              <w:rPr>
                <w:rFonts w:hint="eastAsia" w:ascii="宋体" w:hAnsi="宋体"/>
                <w:lang w:val="en-US" w:eastAsia="zh-CN"/>
              </w:rPr>
              <w:t>总体概述及方案</w:t>
            </w:r>
          </w:p>
        </w:tc>
        <w:tc>
          <w:tcPr>
            <w:tcW w:w="778" w:type="dxa"/>
            <w:vMerge w:val="restart"/>
            <w:tcBorders>
              <w:top w:val="single" w:color="000000" w:sz="8" w:space="0"/>
              <w:left w:val="single" w:color="000000" w:sz="8" w:space="0"/>
              <w:right w:val="single" w:color="000000" w:sz="8" w:space="0"/>
            </w:tcBorders>
            <w:shd w:val="clear" w:color="auto" w:fill="FFFFFF"/>
            <w:noWrap w:val="0"/>
            <w:vAlign w:val="center"/>
          </w:tcPr>
          <w:p w14:paraId="490EDC73">
            <w:pPr>
              <w:tabs>
                <w:tab w:val="left" w:pos="360"/>
              </w:tabs>
              <w:jc w:val="center"/>
              <w:rPr>
                <w:rFonts w:ascii="宋体" w:hAnsi="宋体"/>
                <w:szCs w:val="21"/>
              </w:rPr>
            </w:pPr>
            <w:r>
              <w:rPr>
                <w:rFonts w:hint="eastAsia" w:ascii="宋体" w:hAnsi="宋体" w:cs="Microsoft JhengHei"/>
                <w:spacing w:val="-3"/>
                <w:szCs w:val="21"/>
              </w:rPr>
              <w:t>10分</w:t>
            </w:r>
          </w:p>
        </w:tc>
        <w:tc>
          <w:tcPr>
            <w:tcW w:w="5236"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39A96E44">
            <w:pPr>
              <w:spacing w:line="300" w:lineRule="auto"/>
              <w:rPr>
                <w:rFonts w:ascii="宋体" w:hAnsi="宋体"/>
                <w:szCs w:val="21"/>
              </w:rPr>
            </w:pPr>
            <w:r>
              <w:rPr>
                <w:rFonts w:hint="eastAsia" w:ascii="宋体" w:hAnsi="宋体"/>
                <w:szCs w:val="21"/>
              </w:rPr>
              <w:t>科学、合理、完善，可行</w:t>
            </w:r>
          </w:p>
        </w:tc>
        <w:tc>
          <w:tcPr>
            <w:tcW w:w="149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5E176EF5">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14:paraId="4259F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79F3A06A">
            <w:pPr>
              <w:tabs>
                <w:tab w:val="left" w:pos="360"/>
              </w:tabs>
              <w:jc w:val="center"/>
              <w:rPr>
                <w:rFonts w:ascii="宋体" w:hAnsi="宋体"/>
                <w:szCs w:val="21"/>
              </w:rPr>
            </w:pPr>
          </w:p>
        </w:tc>
        <w:tc>
          <w:tcPr>
            <w:tcW w:w="1372" w:type="dxa"/>
            <w:vMerge w:val="continue"/>
            <w:tcBorders>
              <w:top w:val="single" w:color="000000" w:sz="8" w:space="0"/>
              <w:left w:val="single" w:color="000000" w:sz="8" w:space="0"/>
              <w:right w:val="single" w:color="000000" w:sz="8" w:space="0"/>
            </w:tcBorders>
            <w:shd w:val="clear" w:color="auto" w:fill="FFFFFF"/>
            <w:noWrap w:val="0"/>
            <w:vAlign w:val="center"/>
          </w:tcPr>
          <w:p w14:paraId="415EC2BC">
            <w:pPr>
              <w:tabs>
                <w:tab w:val="left" w:pos="360"/>
                <w:tab w:val="left" w:pos="498"/>
              </w:tabs>
              <w:jc w:val="center"/>
              <w:rPr>
                <w:rFonts w:ascii="宋体" w:hAnsi="宋体"/>
                <w:szCs w:val="21"/>
              </w:rPr>
            </w:pPr>
          </w:p>
        </w:tc>
        <w:tc>
          <w:tcPr>
            <w:tcW w:w="778" w:type="dxa"/>
            <w:vMerge w:val="continue"/>
            <w:tcBorders>
              <w:top w:val="single" w:color="000000" w:sz="8" w:space="0"/>
              <w:left w:val="single" w:color="000000" w:sz="8" w:space="0"/>
              <w:right w:val="single" w:color="000000" w:sz="8" w:space="0"/>
            </w:tcBorders>
            <w:shd w:val="clear" w:color="auto" w:fill="FFFFFF"/>
            <w:noWrap w:val="0"/>
            <w:vAlign w:val="center"/>
          </w:tcPr>
          <w:p w14:paraId="1E5AF850">
            <w:pPr>
              <w:tabs>
                <w:tab w:val="left" w:pos="360"/>
              </w:tabs>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F1DA12">
            <w:pPr>
              <w:spacing w:line="300" w:lineRule="auto"/>
              <w:rPr>
                <w:rFonts w:ascii="宋体" w:hAnsi="宋体"/>
                <w:szCs w:val="21"/>
              </w:rPr>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EDCEE4">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14:paraId="780E3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14:paraId="1C56B211">
            <w:pPr>
              <w:tabs>
                <w:tab w:val="left" w:pos="360"/>
              </w:tabs>
              <w:jc w:val="center"/>
              <w:rPr>
                <w:rFonts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14:paraId="753B7010">
            <w:pPr>
              <w:tabs>
                <w:tab w:val="left" w:pos="360"/>
                <w:tab w:val="left" w:pos="498"/>
              </w:tabs>
              <w:jc w:val="center"/>
              <w:rPr>
                <w:rFonts w:ascii="宋体" w:hAnsi="宋体"/>
                <w:szCs w:val="21"/>
              </w:rPr>
            </w:pPr>
          </w:p>
        </w:tc>
        <w:tc>
          <w:tcPr>
            <w:tcW w:w="778" w:type="dxa"/>
            <w:vMerge w:val="continue"/>
            <w:tcBorders>
              <w:left w:val="single" w:color="000000" w:sz="8" w:space="0"/>
              <w:bottom w:val="single" w:color="000000" w:sz="8" w:space="0"/>
              <w:right w:val="single" w:color="000000" w:sz="8" w:space="0"/>
            </w:tcBorders>
            <w:shd w:val="clear" w:color="auto" w:fill="FFFFFF"/>
            <w:noWrap w:val="0"/>
            <w:vAlign w:val="center"/>
          </w:tcPr>
          <w:p w14:paraId="7C06DADA">
            <w:pPr>
              <w:tabs>
                <w:tab w:val="left" w:pos="360"/>
              </w:tabs>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DC73537">
            <w:pPr>
              <w:spacing w:line="300" w:lineRule="auto"/>
              <w:rPr>
                <w:rFonts w:ascii="宋体" w:hAnsi="宋体"/>
                <w:szCs w:val="21"/>
              </w:rPr>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40B405">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14:paraId="37880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14:paraId="0B889CAF">
            <w:pPr>
              <w:jc w:val="center"/>
              <w:rPr>
                <w:rFonts w:hint="eastAsia" w:ascii="宋体" w:hAnsi="宋体" w:eastAsia="宋体"/>
                <w:szCs w:val="21"/>
                <w:lang w:val="en-US" w:eastAsia="zh-CN"/>
              </w:rPr>
            </w:pPr>
            <w:r>
              <w:rPr>
                <w:rFonts w:hint="eastAsia" w:ascii="宋体" w:hAnsi="宋体"/>
                <w:szCs w:val="21"/>
                <w:lang w:val="en-US" w:eastAsia="zh-CN"/>
              </w:rPr>
              <w:t>5</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14:paraId="20E94B13">
            <w:pPr>
              <w:pStyle w:val="6"/>
              <w:spacing w:before="28"/>
              <w:ind w:left="63" w:leftChars="0" w:right="50" w:rightChars="0"/>
              <w:jc w:val="center"/>
              <w:rPr>
                <w:rFonts w:hint="eastAsia" w:ascii="宋体" w:hAnsi="宋体"/>
                <w:sz w:val="21"/>
                <w:lang w:val="en-US" w:eastAsia="zh-CN"/>
              </w:rPr>
            </w:pPr>
            <w:r>
              <w:rPr>
                <w:rFonts w:hint="eastAsia" w:ascii="宋体" w:hAnsi="宋体"/>
                <w:sz w:val="21"/>
                <w:lang w:val="en-US" w:eastAsia="zh-CN"/>
              </w:rPr>
              <w:t>服务方案</w:t>
            </w:r>
            <w:r>
              <w:rPr>
                <w:rFonts w:hint="eastAsia" w:ascii="宋体" w:hAnsi="宋体"/>
                <w:sz w:val="21"/>
              </w:rPr>
              <w:t>的</w:t>
            </w:r>
            <w:r>
              <w:rPr>
                <w:rFonts w:hint="eastAsia" w:ascii="宋体" w:hAnsi="宋体"/>
                <w:sz w:val="21"/>
                <w:lang w:val="en-US" w:eastAsia="zh-CN"/>
              </w:rPr>
              <w:t>实施细则</w:t>
            </w:r>
          </w:p>
        </w:tc>
        <w:tc>
          <w:tcPr>
            <w:tcW w:w="778" w:type="dxa"/>
            <w:vMerge w:val="restart"/>
            <w:tcBorders>
              <w:left w:val="single" w:color="000000" w:sz="8" w:space="0"/>
              <w:right w:val="single" w:color="000000" w:sz="8" w:space="0"/>
            </w:tcBorders>
            <w:shd w:val="clear" w:color="auto" w:fill="FFFFFF"/>
            <w:noWrap w:val="0"/>
            <w:vAlign w:val="center"/>
          </w:tcPr>
          <w:p w14:paraId="67B6773A">
            <w:pPr>
              <w:jc w:val="center"/>
              <w:rPr>
                <w:rFonts w:hint="default" w:ascii="宋体" w:hAnsi="宋体"/>
                <w:lang w:val="en-US" w:eastAsia="zh-CN"/>
              </w:rPr>
            </w:pPr>
            <w:r>
              <w:rPr>
                <w:rFonts w:hint="eastAsia" w:ascii="宋体" w:hAnsi="宋体"/>
                <w:lang w:val="en-US" w:eastAsia="zh-CN"/>
              </w:rPr>
              <w:t>10</w:t>
            </w:r>
            <w:r>
              <w:rPr>
                <w:rFonts w:hint="eastAsia" w:ascii="宋体" w:hAnsi="宋体"/>
              </w:rPr>
              <w:t>分</w:t>
            </w: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73806B">
            <w:pPr>
              <w:spacing w:line="300" w:lineRule="auto"/>
              <w:rPr>
                <w:rFonts w:hint="eastAsia" w:ascii="宋体" w:hAnsi="宋体"/>
                <w:szCs w:val="21"/>
              </w:rPr>
            </w:pPr>
            <w:r>
              <w:rPr>
                <w:rFonts w:hint="eastAsia" w:ascii="宋体" w:hAnsi="宋体"/>
                <w:szCs w:val="21"/>
              </w:rPr>
              <w:t>科学、合理、完善，可行</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4BB386">
            <w:pPr>
              <w:spacing w:line="300" w:lineRule="auto"/>
              <w:rPr>
                <w:rFonts w:hint="eastAsia" w:ascii="宋体" w:hAnsi="宋体"/>
                <w:szCs w:val="21"/>
                <w:lang w:val="en-US" w:eastAsia="zh-CN"/>
              </w:rPr>
            </w:pPr>
            <w:r>
              <w:rPr>
                <w:rFonts w:hint="eastAsia" w:ascii="宋体" w:hAnsi="宋体"/>
                <w:szCs w:val="21"/>
                <w:lang w:val="en-US" w:eastAsia="zh-CN"/>
              </w:rPr>
              <w:t>8-10</w:t>
            </w:r>
            <w:r>
              <w:rPr>
                <w:rFonts w:hint="eastAsia" w:ascii="宋体" w:hAnsi="宋体"/>
                <w:szCs w:val="21"/>
              </w:rPr>
              <w:t>分</w:t>
            </w:r>
          </w:p>
        </w:tc>
      </w:tr>
      <w:tr w14:paraId="56CA1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023242FA">
            <w:pPr>
              <w:tabs>
                <w:tab w:val="left" w:pos="360"/>
              </w:tabs>
              <w:jc w:val="center"/>
              <w:rPr>
                <w:rFonts w:hint="eastAsia"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14:paraId="284BA7E1">
            <w:pPr>
              <w:jc w:val="center"/>
              <w:rPr>
                <w:rFonts w:hint="eastAsia" w:ascii="宋体" w:hAnsi="宋体"/>
                <w:sz w:val="21"/>
                <w:lang w:val="en-US" w:eastAsia="zh-CN"/>
              </w:rPr>
            </w:pPr>
          </w:p>
        </w:tc>
        <w:tc>
          <w:tcPr>
            <w:tcW w:w="778" w:type="dxa"/>
            <w:vMerge w:val="continue"/>
            <w:tcBorders>
              <w:left w:val="single" w:color="000000" w:sz="8" w:space="0"/>
              <w:right w:val="single" w:color="000000" w:sz="8" w:space="0"/>
            </w:tcBorders>
            <w:shd w:val="clear" w:color="auto" w:fill="FFFFFF"/>
            <w:noWrap w:val="0"/>
            <w:vAlign w:val="center"/>
          </w:tcPr>
          <w:p w14:paraId="62AC99DE">
            <w:pPr>
              <w:tabs>
                <w:tab w:val="left" w:pos="360"/>
              </w:tabs>
              <w:jc w:val="center"/>
              <w:rPr>
                <w:rFonts w:hint="eastAsia" w:ascii="宋体" w:hAnsi="宋体"/>
                <w:lang w:val="en-US" w:eastAsia="zh-CN"/>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4FB096">
            <w:pPr>
              <w:spacing w:line="300" w:lineRule="auto"/>
              <w:rPr>
                <w:rFonts w:hint="eastAsia" w:ascii="宋体" w:hAnsi="宋体"/>
                <w:szCs w:val="21"/>
              </w:rPr>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F1D815">
            <w:pPr>
              <w:spacing w:line="300" w:lineRule="auto"/>
              <w:rPr>
                <w:rFonts w:hint="eastAsia" w:ascii="宋体" w:hAnsi="宋体"/>
                <w:szCs w:val="21"/>
                <w:lang w:val="en-US" w:eastAsia="zh-CN"/>
              </w:rPr>
            </w:pPr>
            <w:r>
              <w:rPr>
                <w:rFonts w:hint="eastAsia" w:ascii="宋体" w:hAnsi="宋体"/>
                <w:szCs w:val="21"/>
                <w:lang w:val="en-US" w:eastAsia="zh-CN"/>
              </w:rPr>
              <w:t>5-7</w:t>
            </w:r>
            <w:r>
              <w:rPr>
                <w:rFonts w:hint="eastAsia" w:ascii="宋体" w:hAnsi="宋体"/>
                <w:szCs w:val="21"/>
              </w:rPr>
              <w:t>分</w:t>
            </w:r>
          </w:p>
        </w:tc>
      </w:tr>
      <w:tr w14:paraId="2B56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4C88B90B">
            <w:pPr>
              <w:tabs>
                <w:tab w:val="left" w:pos="360"/>
              </w:tabs>
              <w:jc w:val="center"/>
              <w:rPr>
                <w:rFonts w:hint="eastAsia"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14:paraId="1B8AF101">
            <w:pPr>
              <w:jc w:val="center"/>
              <w:rPr>
                <w:rFonts w:hint="eastAsia" w:ascii="宋体" w:hAnsi="宋体"/>
                <w:sz w:val="21"/>
                <w:lang w:val="en-US" w:eastAsia="zh-CN"/>
              </w:rPr>
            </w:pPr>
          </w:p>
        </w:tc>
        <w:tc>
          <w:tcPr>
            <w:tcW w:w="778" w:type="dxa"/>
            <w:vMerge w:val="continue"/>
            <w:tcBorders>
              <w:left w:val="single" w:color="000000" w:sz="8" w:space="0"/>
              <w:bottom w:val="single" w:color="auto" w:sz="4" w:space="0"/>
              <w:right w:val="single" w:color="000000" w:sz="8" w:space="0"/>
            </w:tcBorders>
            <w:shd w:val="clear" w:color="auto" w:fill="FFFFFF"/>
            <w:noWrap w:val="0"/>
            <w:vAlign w:val="center"/>
          </w:tcPr>
          <w:p w14:paraId="727B4F68">
            <w:pPr>
              <w:jc w:val="center"/>
              <w:rPr>
                <w:rFonts w:hint="eastAsia" w:ascii="宋体" w:hAnsi="宋体"/>
                <w:lang w:val="en-US" w:eastAsia="zh-CN"/>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D24AEAE">
            <w:pPr>
              <w:spacing w:line="300" w:lineRule="auto"/>
              <w:rPr>
                <w:rFonts w:hint="eastAsia" w:ascii="宋体" w:hAnsi="宋体"/>
                <w:szCs w:val="21"/>
              </w:rPr>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336425">
            <w:pPr>
              <w:spacing w:line="300" w:lineRule="auto"/>
              <w:rPr>
                <w:rFonts w:hint="eastAsia" w:ascii="宋体" w:hAnsi="宋体"/>
                <w:szCs w:val="21"/>
                <w:lang w:val="en-US" w:eastAsia="zh-CN"/>
              </w:rPr>
            </w:pPr>
            <w:r>
              <w:rPr>
                <w:rFonts w:hint="eastAsia" w:ascii="宋体" w:hAnsi="宋体"/>
                <w:szCs w:val="21"/>
                <w:lang w:val="en-US" w:eastAsia="zh-CN"/>
              </w:rPr>
              <w:t>2-4</w:t>
            </w:r>
            <w:r>
              <w:rPr>
                <w:rFonts w:hint="eastAsia" w:ascii="宋体" w:hAnsi="宋体"/>
                <w:szCs w:val="21"/>
              </w:rPr>
              <w:t>分</w:t>
            </w:r>
          </w:p>
        </w:tc>
      </w:tr>
      <w:tr w14:paraId="13D2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14:paraId="026D3677">
            <w:pPr>
              <w:tabs>
                <w:tab w:val="left" w:pos="360"/>
              </w:tabs>
              <w:jc w:val="center"/>
              <w:rPr>
                <w:rFonts w:hint="eastAsia" w:ascii="宋体" w:hAnsi="宋体" w:eastAsia="宋体"/>
                <w:szCs w:val="21"/>
                <w:lang w:eastAsia="zh-CN"/>
              </w:rPr>
            </w:pPr>
            <w:r>
              <w:rPr>
                <w:rFonts w:hint="eastAsia" w:ascii="宋体" w:hAnsi="宋体"/>
                <w:szCs w:val="21"/>
                <w:lang w:val="en-US" w:eastAsia="zh-CN"/>
              </w:rPr>
              <w:t>6</w:t>
            </w:r>
          </w:p>
        </w:tc>
        <w:tc>
          <w:tcPr>
            <w:tcW w:w="1372" w:type="dxa"/>
            <w:vMerge w:val="restart"/>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5F269A7F">
            <w:pPr>
              <w:pStyle w:val="6"/>
              <w:spacing w:before="27"/>
              <w:ind w:left="63" w:leftChars="0" w:right="51" w:rightChars="0"/>
              <w:jc w:val="center"/>
              <w:rPr>
                <w:rFonts w:hint="default" w:ascii="宋体" w:hAnsi="宋体" w:eastAsia="宋体"/>
                <w:sz w:val="21"/>
                <w:lang w:val="en-US" w:eastAsia="zh-CN"/>
              </w:rPr>
            </w:pPr>
            <w:r>
              <w:rPr>
                <w:rFonts w:hint="eastAsia" w:ascii="宋体" w:hAnsi="宋体"/>
                <w:sz w:val="21"/>
                <w:lang w:val="en-US" w:eastAsia="zh-CN"/>
              </w:rPr>
              <w:t>服务质量的控制措施</w:t>
            </w:r>
          </w:p>
        </w:tc>
        <w:tc>
          <w:tcPr>
            <w:tcW w:w="778" w:type="dxa"/>
            <w:vMerge w:val="restart"/>
            <w:tcBorders>
              <w:top w:val="single" w:color="auto" w:sz="4" w:space="0"/>
              <w:left w:val="single" w:color="000000" w:sz="8" w:space="0"/>
              <w:right w:val="single" w:color="000000" w:sz="8" w:space="0"/>
            </w:tcBorders>
            <w:shd w:val="clear" w:color="auto" w:fill="FFFFFF"/>
            <w:noWrap w:val="0"/>
            <w:vAlign w:val="center"/>
          </w:tcPr>
          <w:p w14:paraId="1B9D728F">
            <w:pPr>
              <w:jc w:val="center"/>
              <w:rPr>
                <w:rFonts w:ascii="宋体" w:hAnsi="宋体"/>
                <w:szCs w:val="21"/>
              </w:rPr>
            </w:pPr>
            <w:r>
              <w:rPr>
                <w:rFonts w:hint="eastAsia" w:ascii="宋体" w:hAnsi="宋体"/>
                <w:lang w:val="en-US" w:eastAsia="zh-CN"/>
              </w:rPr>
              <w:t>10分</w:t>
            </w: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E86D0C">
            <w:pPr>
              <w:spacing w:line="300" w:lineRule="auto"/>
              <w:rPr>
                <w:rFonts w:ascii="宋体" w:hAnsi="宋体"/>
                <w:szCs w:val="21"/>
              </w:rPr>
            </w:pPr>
            <w:r>
              <w:rPr>
                <w:rFonts w:hint="eastAsia" w:ascii="宋体" w:hAnsi="宋体"/>
                <w:szCs w:val="21"/>
              </w:rPr>
              <w:t>科学、合理、完善，可行</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9335FA">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14:paraId="4168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5A38D55B">
            <w:pPr>
              <w:tabs>
                <w:tab w:val="left" w:pos="360"/>
              </w:tabs>
              <w:jc w:val="center"/>
              <w:rPr>
                <w:rFonts w:ascii="宋体" w:hAnsi="宋体"/>
                <w:szCs w:val="21"/>
              </w:rPr>
            </w:pPr>
          </w:p>
        </w:tc>
        <w:tc>
          <w:tcPr>
            <w:tcW w:w="137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10E24039">
            <w:pPr>
              <w:pStyle w:val="6"/>
              <w:spacing w:before="27"/>
              <w:ind w:left="63" w:leftChars="0" w:right="51" w:rightChars="0"/>
              <w:jc w:val="center"/>
              <w:rPr>
                <w:rFonts w:ascii="宋体" w:hAnsi="宋体"/>
                <w:kern w:val="0"/>
                <w:lang w:val="zh-CN" w:bidi="zh-CN"/>
              </w:rPr>
            </w:pPr>
          </w:p>
        </w:tc>
        <w:tc>
          <w:tcPr>
            <w:tcW w:w="778" w:type="dxa"/>
            <w:vMerge w:val="continue"/>
            <w:tcBorders>
              <w:left w:val="single" w:color="000000" w:sz="8" w:space="0"/>
              <w:right w:val="single" w:color="000000" w:sz="8" w:space="0"/>
            </w:tcBorders>
            <w:shd w:val="clear" w:color="auto" w:fill="FFFFFF"/>
            <w:noWrap w:val="0"/>
            <w:vAlign w:val="center"/>
          </w:tcPr>
          <w:p w14:paraId="193F0E99">
            <w:pPr>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557761">
            <w:pPr>
              <w:spacing w:line="300" w:lineRule="auto"/>
              <w:rPr>
                <w:rFonts w:ascii="宋体" w:hAnsi="宋体"/>
                <w:szCs w:val="21"/>
              </w:rPr>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50DFD1">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14:paraId="05B4C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14:paraId="766C4340">
            <w:pPr>
              <w:tabs>
                <w:tab w:val="left" w:pos="360"/>
              </w:tabs>
              <w:jc w:val="center"/>
              <w:rPr>
                <w:rFonts w:ascii="宋体" w:hAnsi="宋体"/>
                <w:szCs w:val="21"/>
              </w:rPr>
            </w:pPr>
          </w:p>
        </w:tc>
        <w:tc>
          <w:tcPr>
            <w:tcW w:w="137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14:paraId="75A48E8A">
            <w:pPr>
              <w:pStyle w:val="6"/>
              <w:spacing w:before="27"/>
              <w:ind w:left="63" w:leftChars="0" w:right="51" w:rightChars="0"/>
              <w:jc w:val="center"/>
              <w:rPr>
                <w:rFonts w:ascii="宋体" w:hAnsi="宋体"/>
                <w:kern w:val="0"/>
                <w:lang w:val="zh-CN" w:bidi="zh-CN"/>
              </w:rPr>
            </w:pPr>
          </w:p>
        </w:tc>
        <w:tc>
          <w:tcPr>
            <w:tcW w:w="778" w:type="dxa"/>
            <w:vMerge w:val="continue"/>
            <w:tcBorders>
              <w:left w:val="single" w:color="000000" w:sz="8" w:space="0"/>
              <w:bottom w:val="single" w:color="000000" w:sz="8" w:space="0"/>
              <w:right w:val="single" w:color="000000" w:sz="8" w:space="0"/>
            </w:tcBorders>
            <w:shd w:val="clear" w:color="auto" w:fill="FFFFFF"/>
            <w:noWrap w:val="0"/>
            <w:vAlign w:val="center"/>
          </w:tcPr>
          <w:p w14:paraId="2F8CC3AB">
            <w:pPr>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04765F6">
            <w:pPr>
              <w:spacing w:line="300" w:lineRule="auto"/>
              <w:rPr>
                <w:rFonts w:ascii="宋体" w:hAnsi="宋体"/>
                <w:szCs w:val="21"/>
              </w:rPr>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E6090B">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14:paraId="21616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14:paraId="2893D6BE">
            <w:pPr>
              <w:tabs>
                <w:tab w:val="left" w:pos="360"/>
              </w:tabs>
              <w:jc w:val="center"/>
              <w:rPr>
                <w:rFonts w:hint="eastAsia" w:ascii="宋体" w:hAnsi="宋体" w:eastAsia="宋体"/>
                <w:szCs w:val="21"/>
                <w:lang w:eastAsia="zh-CN"/>
              </w:rPr>
            </w:pPr>
            <w:r>
              <w:rPr>
                <w:rFonts w:hint="eastAsia" w:ascii="宋体" w:hAnsi="宋体"/>
                <w:szCs w:val="21"/>
                <w:lang w:val="en-US" w:eastAsia="zh-CN"/>
              </w:rPr>
              <w:t>7</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14:paraId="7CEF9155">
            <w:pPr>
              <w:pStyle w:val="6"/>
              <w:spacing w:before="27"/>
              <w:ind w:left="63" w:leftChars="0" w:right="51" w:rightChars="0"/>
              <w:jc w:val="center"/>
              <w:rPr>
                <w:rFonts w:ascii="宋体" w:hAnsi="宋体"/>
                <w:szCs w:val="21"/>
              </w:rPr>
            </w:pPr>
            <w:r>
              <w:rPr>
                <w:rFonts w:hint="eastAsia" w:ascii="宋体" w:hAnsi="宋体"/>
                <w:sz w:val="21"/>
                <w:lang w:val="en-US" w:eastAsia="zh-CN"/>
              </w:rPr>
              <w:t>其他补充资料</w:t>
            </w:r>
          </w:p>
        </w:tc>
        <w:tc>
          <w:tcPr>
            <w:tcW w:w="778" w:type="dxa"/>
            <w:vMerge w:val="restart"/>
            <w:tcBorders>
              <w:top w:val="single" w:color="auto" w:sz="4" w:space="0"/>
              <w:left w:val="single" w:color="000000" w:sz="8" w:space="0"/>
              <w:right w:val="single" w:color="000000" w:sz="8" w:space="0"/>
            </w:tcBorders>
            <w:shd w:val="clear" w:color="auto" w:fill="FFFFFF"/>
            <w:noWrap w:val="0"/>
            <w:vAlign w:val="center"/>
          </w:tcPr>
          <w:p w14:paraId="618D6A0A">
            <w:pPr>
              <w:jc w:val="center"/>
              <w:rPr>
                <w:rFonts w:ascii="宋体" w:hAnsi="宋体"/>
                <w:szCs w:val="21"/>
              </w:rPr>
            </w:pPr>
            <w:r>
              <w:rPr>
                <w:rFonts w:hint="eastAsia" w:ascii="宋体" w:hAnsi="宋体"/>
                <w:lang w:val="en-US" w:eastAsia="zh-CN"/>
              </w:rPr>
              <w:t>10</w:t>
            </w:r>
            <w:r>
              <w:rPr>
                <w:rFonts w:hint="eastAsia" w:ascii="宋体" w:hAnsi="宋体"/>
              </w:rPr>
              <w:t>分</w:t>
            </w: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A40A8C">
            <w:pPr>
              <w:spacing w:line="300" w:lineRule="auto"/>
              <w:rPr>
                <w:rFonts w:ascii="宋体" w:hAnsi="宋体"/>
                <w:szCs w:val="21"/>
              </w:rPr>
            </w:pPr>
            <w:r>
              <w:rPr>
                <w:rFonts w:hint="eastAsia" w:ascii="宋体" w:hAnsi="宋体"/>
                <w:szCs w:val="21"/>
              </w:rPr>
              <w:t>科学、合理、完善，可行</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C9B9BE">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14:paraId="3213D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94" w:type="dxa"/>
            <w:vMerge w:val="continue"/>
            <w:tcBorders>
              <w:left w:val="single" w:color="000000" w:sz="8" w:space="0"/>
              <w:right w:val="single" w:color="000000" w:sz="8" w:space="0"/>
            </w:tcBorders>
            <w:shd w:val="clear" w:color="auto" w:fill="FFFFFF"/>
            <w:noWrap w:val="0"/>
            <w:vAlign w:val="center"/>
          </w:tcPr>
          <w:p w14:paraId="742A66E3">
            <w:pPr>
              <w:tabs>
                <w:tab w:val="left" w:pos="360"/>
              </w:tabs>
              <w:jc w:val="center"/>
            </w:pPr>
          </w:p>
        </w:tc>
        <w:tc>
          <w:tcPr>
            <w:tcW w:w="1372" w:type="dxa"/>
            <w:vMerge w:val="continue"/>
            <w:tcBorders>
              <w:left w:val="single" w:color="000000" w:sz="8" w:space="0"/>
              <w:right w:val="single" w:color="000000" w:sz="8" w:space="0"/>
            </w:tcBorders>
            <w:shd w:val="clear" w:color="auto" w:fill="FFFFFF"/>
            <w:noWrap w:val="0"/>
            <w:vAlign w:val="center"/>
          </w:tcPr>
          <w:p w14:paraId="29A8BEE5">
            <w:pPr>
              <w:jc w:val="center"/>
            </w:pPr>
          </w:p>
        </w:tc>
        <w:tc>
          <w:tcPr>
            <w:tcW w:w="778" w:type="dxa"/>
            <w:vMerge w:val="continue"/>
            <w:tcBorders>
              <w:left w:val="single" w:color="000000" w:sz="8" w:space="0"/>
              <w:right w:val="single" w:color="000000" w:sz="8" w:space="0"/>
            </w:tcBorders>
            <w:shd w:val="clear" w:color="auto" w:fill="FFFFFF"/>
            <w:noWrap w:val="0"/>
            <w:vAlign w:val="center"/>
          </w:tcPr>
          <w:p w14:paraId="3790798B">
            <w:pPr>
              <w:jc w:val="cente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FAC440">
            <w:pPr>
              <w:spacing w:line="300" w:lineRule="auto"/>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E4E4FC">
            <w:pPr>
              <w:spacing w:line="300" w:lineRule="auto"/>
            </w:pPr>
            <w:r>
              <w:rPr>
                <w:rFonts w:hint="eastAsia" w:ascii="宋体" w:hAnsi="宋体"/>
                <w:szCs w:val="21"/>
                <w:lang w:val="en-US" w:eastAsia="zh-CN"/>
              </w:rPr>
              <w:t>5-7</w:t>
            </w:r>
            <w:r>
              <w:rPr>
                <w:rFonts w:hint="eastAsia" w:ascii="宋体" w:hAnsi="宋体"/>
                <w:szCs w:val="21"/>
              </w:rPr>
              <w:t>分</w:t>
            </w:r>
          </w:p>
        </w:tc>
      </w:tr>
      <w:tr w14:paraId="59480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14:paraId="5463E8C3">
            <w:pPr>
              <w:tabs>
                <w:tab w:val="left" w:pos="360"/>
              </w:tabs>
              <w:jc w:val="cente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14:paraId="69D95D31">
            <w:pPr>
              <w:jc w:val="center"/>
            </w:pPr>
          </w:p>
        </w:tc>
        <w:tc>
          <w:tcPr>
            <w:tcW w:w="778" w:type="dxa"/>
            <w:vMerge w:val="continue"/>
            <w:tcBorders>
              <w:left w:val="single" w:color="000000" w:sz="8" w:space="0"/>
              <w:bottom w:val="single" w:color="auto" w:sz="4" w:space="0"/>
              <w:right w:val="single" w:color="000000" w:sz="8" w:space="0"/>
            </w:tcBorders>
            <w:shd w:val="clear" w:color="auto" w:fill="FFFFFF"/>
            <w:noWrap w:val="0"/>
            <w:vAlign w:val="center"/>
          </w:tcPr>
          <w:p w14:paraId="483F42F4">
            <w:pPr>
              <w:jc w:val="cente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8C40A51">
            <w:pPr>
              <w:spacing w:line="300" w:lineRule="auto"/>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E10990">
            <w:pPr>
              <w:spacing w:line="300" w:lineRule="auto"/>
            </w:pPr>
            <w:r>
              <w:rPr>
                <w:rFonts w:hint="eastAsia" w:ascii="宋体" w:hAnsi="宋体"/>
                <w:szCs w:val="21"/>
                <w:lang w:val="en-US" w:eastAsia="zh-CN"/>
              </w:rPr>
              <w:t>2-4</w:t>
            </w:r>
            <w:r>
              <w:rPr>
                <w:rFonts w:hint="eastAsia" w:ascii="宋体" w:hAnsi="宋体"/>
                <w:szCs w:val="21"/>
              </w:rPr>
              <w:t>分</w:t>
            </w:r>
          </w:p>
        </w:tc>
      </w:tr>
    </w:tbl>
    <w:p w14:paraId="518BDB97">
      <w:pPr>
        <w:rPr>
          <w:rFonts w:ascii="Times New Roman" w:hAnsi="Times New Roman" w:cs="Times New Roman"/>
          <w:szCs w:val="21"/>
        </w:rPr>
      </w:pPr>
    </w:p>
    <w:p w14:paraId="518CF38F">
      <w:pPr>
        <w:rPr>
          <w:rFonts w:hint="eastAsia" w:ascii="Times New Roman" w:hAnsi="Times New Roman" w:cs="Times New Roman"/>
          <w:szCs w:val="21"/>
          <w:lang w:eastAsia="zh-CN"/>
        </w:rPr>
      </w:pPr>
      <w:r>
        <w:rPr>
          <w:rFonts w:ascii="Times New Roman" w:hAnsi="Times New Roman" w:cs="Times New Roman"/>
          <w:szCs w:val="21"/>
        </w:rPr>
        <w:t>以上内容缺项得0分</w:t>
      </w:r>
      <w:r>
        <w:rPr>
          <w:rFonts w:hint="eastAsia" w:ascii="Times New Roman" w:hAnsi="Times New Roman" w:cs="Times New Roman"/>
          <w:szCs w:val="21"/>
          <w:lang w:eastAsia="zh-CN"/>
        </w:rPr>
        <w:t>，</w:t>
      </w:r>
      <w:r>
        <w:rPr>
          <w:rFonts w:ascii="Times New Roman" w:hAnsi="Times New Roman" w:cs="Times New Roman"/>
          <w:szCs w:val="21"/>
        </w:rPr>
        <w:t>综合评分法得分最高者中选，如综合评分相同时，报价费率低者中选。</w:t>
      </w:r>
    </w:p>
    <w:p w14:paraId="58D79AA9">
      <w:pPr>
        <w:rPr>
          <w:rFonts w:hint="eastAsia" w:ascii="Times New Roman" w:hAnsi="Times New Roman" w:eastAsia="宋体" w:cs="Times New Roman"/>
          <w:szCs w:val="21"/>
          <w:lang w:eastAsia="zh-CN"/>
        </w:rPr>
      </w:pPr>
    </w:p>
    <w:p w14:paraId="32A8E8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ZjA0YWM2NjhkOWQ5MTY2Yjg4ODkzNGIzMjFjZDIifQ=="/>
  </w:docVars>
  <w:rsids>
    <w:rsidRoot w:val="00000000"/>
    <w:rsid w:val="013F6CBA"/>
    <w:rsid w:val="08585DDB"/>
    <w:rsid w:val="327D275F"/>
    <w:rsid w:val="42382603"/>
    <w:rsid w:val="69A71A38"/>
    <w:rsid w:val="6E6905EB"/>
    <w:rsid w:val="700B1EF6"/>
    <w:rsid w:val="77C273E3"/>
    <w:rsid w:val="7C08296E"/>
    <w:rsid w:val="7F56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outlineLvl w:val="0"/>
    </w:pPr>
    <w:rPr>
      <w:rFonts w:ascii="宋体"/>
      <w:b/>
      <w:sz w:val="4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Table Paragraph"/>
    <w:basedOn w:val="1"/>
    <w:qFormat/>
    <w:uiPriority w:val="1"/>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588</Words>
  <Characters>639</Characters>
  <Lines>0</Lines>
  <Paragraphs>0</Paragraphs>
  <TotalTime>0</TotalTime>
  <ScaleCrop>false</ScaleCrop>
  <LinksUpToDate>false</LinksUpToDate>
  <CharactersWithSpaces>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2024-06-06T07:14:00Z</dcterms:created>
  <dc:creator>acer</dc:creator>
  <cp:lastModifiedBy>王子怡</cp:lastModifiedBy>
  <dcterms:modified xsi:type="dcterms:W3CDTF">2025-05-09T07:43:38Z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1628444559B544B5A80296B2CD5A93BC_12</vt:lpwstr>
  </property>
  <property fmtid="{D5CDD505-2E9C-101B-9397-08002B2CF9AE}" pid="4" name="KSOTemplateDocerSaveRecord">
    <vt:lpwstr>eyJoZGlkIjoiODViY2JkMjU3NGYzZTEwMzZmMGFkZWViYmNkYWU3NDIiLCJ1c2VySWQiOiI4MzgxOTM3MTYifQ==</vt:lpwstr>
  </property>
</Properties>
</file>