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1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宋体" w:hAnsi="宋体" w:cs="宋体"/>
          <w:b/>
          <w:bCs/>
          <w:color w:val="auto"/>
          <w:sz w:val="56"/>
          <w:szCs w:val="56"/>
          <w:highlight w:val="none"/>
          <w:u w:val="none"/>
          <w:lang w:val="en-US" w:eastAsia="zh-CN"/>
        </w:rPr>
      </w:pPr>
      <w:r>
        <w:rPr>
          <w:rFonts w:hint="eastAsia" w:ascii="宋体" w:hAnsi="宋体" w:cs="宋体"/>
          <w:b/>
          <w:bCs/>
          <w:color w:val="auto"/>
          <w:sz w:val="56"/>
          <w:szCs w:val="56"/>
          <w:highlight w:val="none"/>
          <w:u w:val="none"/>
          <w:lang w:val="en-US" w:eastAsia="zh-CN"/>
        </w:rPr>
        <w:t>地块十四一级管网、二级管网</w:t>
      </w:r>
    </w:p>
    <w:p>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宋体" w:hAnsi="宋体" w:eastAsia="宋体" w:cs="宋体"/>
          <w:b/>
          <w:bCs/>
          <w:color w:val="auto"/>
          <w:sz w:val="56"/>
          <w:szCs w:val="56"/>
          <w:highlight w:val="none"/>
          <w:u w:val="none"/>
          <w:lang w:val="en-US" w:eastAsia="zh-CN"/>
        </w:rPr>
      </w:pPr>
      <w:r>
        <w:rPr>
          <w:rFonts w:hint="eastAsia" w:ascii="宋体" w:hAnsi="宋体" w:cs="宋体"/>
          <w:b/>
          <w:bCs/>
          <w:color w:val="auto"/>
          <w:sz w:val="56"/>
          <w:szCs w:val="56"/>
          <w:highlight w:val="none"/>
          <w:u w:val="none"/>
          <w:lang w:val="en-US" w:eastAsia="zh-CN"/>
        </w:rPr>
        <w:t>劳务分包采购</w:t>
      </w:r>
    </w:p>
    <w:p>
      <w:pPr>
        <w:pStyle w:val="12"/>
        <w:rPr>
          <w:rFonts w:hint="eastAsia"/>
          <w:highlight w:val="none"/>
          <w:lang w:val="en-US" w:eastAsia="zh-CN"/>
        </w:rPr>
      </w:pPr>
    </w:p>
    <w:p>
      <w:pPr>
        <w:pStyle w:val="6"/>
        <w:rPr>
          <w:rFonts w:hint="eastAsia"/>
          <w:color w:val="auto"/>
          <w:highlight w:val="none"/>
        </w:rPr>
      </w:pPr>
    </w:p>
    <w:p>
      <w:pPr>
        <w:rPr>
          <w:rFonts w:hint="eastAsia"/>
          <w:highlight w:val="none"/>
        </w:rPr>
      </w:pPr>
    </w:p>
    <w:p>
      <w:pPr>
        <w:spacing w:line="500" w:lineRule="exact"/>
        <w:jc w:val="center"/>
        <w:rPr>
          <w:rFonts w:hint="eastAsia" w:ascii="宋体" w:hAnsi="宋体" w:cs="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spacing w:line="500" w:lineRule="exact"/>
        <w:jc w:val="center"/>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ind w:left="0" w:leftChars="0"/>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06</w:t>
      </w:r>
      <w:r>
        <w:rPr>
          <w:rFonts w:hint="eastAsia" w:ascii="宋体" w:hAnsi="宋体" w:cs="宋体"/>
          <w:b/>
          <w:bCs/>
          <w:color w:val="auto"/>
          <w:sz w:val="28"/>
          <w:szCs w:val="28"/>
          <w:highlight w:val="none"/>
        </w:rPr>
        <w:t>月</w:t>
      </w:r>
    </w:p>
    <w:p>
      <w:pPr>
        <w:jc w:val="center"/>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rPr>
          <w:rFonts w:hint="eastAsia" w:ascii="宋体" w:hAnsi="宋体" w:cs="宋体"/>
          <w:color w:val="auto"/>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_Toc8999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 xml:space="preserve">第一章 </w:t>
      </w:r>
      <w:r>
        <w:rPr>
          <w:rFonts w:hint="eastAsia" w:ascii="宋体" w:hAnsi="宋体" w:eastAsia="宋体" w:cs="宋体"/>
          <w:sz w:val="30"/>
          <w:szCs w:val="30"/>
          <w:highlight w:val="none"/>
          <w:lang w:eastAsia="zh-CN"/>
        </w:rPr>
        <w:t>公开比选</w:t>
      </w:r>
      <w:r>
        <w:rPr>
          <w:rFonts w:hint="eastAsia" w:ascii="宋体" w:hAnsi="宋体" w:eastAsia="宋体" w:cs="宋体"/>
          <w:sz w:val="30"/>
          <w:szCs w:val="30"/>
          <w:highlight w:val="none"/>
        </w:rPr>
        <w:t>采购公告</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_Toc8999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_Toc28349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二</w:t>
      </w:r>
      <w:r>
        <w:rPr>
          <w:rFonts w:hint="eastAsia" w:ascii="宋体" w:hAnsi="宋体" w:eastAsia="宋体" w:cs="宋体"/>
          <w:sz w:val="30"/>
          <w:szCs w:val="30"/>
          <w:highlight w:val="none"/>
        </w:rPr>
        <w:t>章 供应商须知</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_Toc28349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5</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_Toc12933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第三章 采购方法</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_Toc12933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8</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_Toc16056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四</w:t>
      </w:r>
      <w:r>
        <w:rPr>
          <w:rFonts w:hint="eastAsia" w:ascii="宋体" w:hAnsi="宋体" w:eastAsia="宋体" w:cs="宋体"/>
          <w:sz w:val="30"/>
          <w:szCs w:val="30"/>
          <w:highlight w:val="none"/>
        </w:rPr>
        <w:t>章 评审办法</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_Toc16056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10</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_Toc28649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五</w:t>
      </w:r>
      <w:r>
        <w:rPr>
          <w:rFonts w:hint="eastAsia" w:ascii="宋体" w:hAnsi="宋体" w:eastAsia="宋体" w:cs="宋体"/>
          <w:sz w:val="30"/>
          <w:szCs w:val="30"/>
          <w:highlight w:val="none"/>
        </w:rPr>
        <w:t xml:space="preserve">章 </w:t>
      </w:r>
      <w:r>
        <w:rPr>
          <w:rFonts w:hint="eastAsia" w:ascii="宋体" w:hAnsi="宋体" w:eastAsia="宋体" w:cs="宋体"/>
          <w:sz w:val="30"/>
          <w:szCs w:val="30"/>
          <w:highlight w:val="none"/>
          <w:lang w:eastAsia="zh-CN"/>
        </w:rPr>
        <w:t>响应文件</w:t>
      </w:r>
      <w:r>
        <w:rPr>
          <w:rFonts w:hint="eastAsia" w:ascii="宋体" w:hAnsi="宋体" w:eastAsia="宋体" w:cs="宋体"/>
          <w:sz w:val="30"/>
          <w:szCs w:val="30"/>
          <w:highlight w:val="none"/>
        </w:rPr>
        <w:t>格式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_Toc28649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13</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地块十四一级管网、二级管网劳务分包采购公开比选采购公告</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bCs/>
          <w:color w:val="auto"/>
          <w:sz w:val="24"/>
          <w:highlight w:val="none"/>
          <w:lang w:val="en-US" w:eastAsia="zh-CN"/>
        </w:rPr>
        <w:t>一、项目名称：</w:t>
      </w:r>
      <w:r>
        <w:rPr>
          <w:rFonts w:hint="eastAsia" w:ascii="宋体" w:hAnsi="宋体" w:cs="宋体"/>
          <w:b w:val="0"/>
          <w:bCs w:val="0"/>
          <w:color w:val="auto"/>
          <w:sz w:val="24"/>
          <w:highlight w:val="none"/>
          <w:lang w:eastAsia="zh-CN"/>
        </w:rPr>
        <w:t>地块十四一级管网、二级管网劳务分包采购</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二、项目地点：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color w:val="auto"/>
          <w:highlight w:val="none"/>
          <w:lang w:val="en-US" w:eastAsia="zh-CN"/>
        </w:rPr>
      </w:pPr>
      <w:r>
        <w:rPr>
          <w:rFonts w:hint="eastAsia" w:ascii="宋体" w:hAnsi="宋体" w:eastAsia="宋体" w:cs="宋体"/>
          <w:b/>
          <w:bCs/>
          <w:color w:val="auto"/>
          <w:sz w:val="24"/>
          <w:highlight w:val="none"/>
          <w:lang w:val="en-US" w:eastAsia="zh-CN"/>
        </w:rPr>
        <w:t>三、采购范围：</w:t>
      </w:r>
      <w:r>
        <w:rPr>
          <w:rFonts w:hint="eastAsia" w:ascii="宋体" w:hAnsi="宋体" w:cs="宋体"/>
          <w:b w:val="0"/>
          <w:bCs w:val="0"/>
          <w:color w:val="auto"/>
          <w:sz w:val="24"/>
          <w:highlight w:val="none"/>
          <w:lang w:eastAsia="zh-CN"/>
        </w:rPr>
        <w:t>地块十四一级管网、二级管网</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费用包括</w:t>
      </w:r>
      <w:r>
        <w:rPr>
          <w:rFonts w:hint="eastAsia" w:ascii="宋体" w:hAnsi="宋体" w:eastAsia="宋体" w:cs="宋体"/>
          <w:color w:val="auto"/>
          <w:sz w:val="24"/>
          <w:highlight w:val="none"/>
        </w:rPr>
        <w:t>劳务工人的工资、保险费、 管理费、利润、税金、风险费、政策性文件规定费用等所有费用</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bookmarkStart w:id="2" w:name="OLE_LINK6"/>
      <w:r>
        <w:rPr>
          <w:rFonts w:hint="eastAsia" w:ascii="宋体" w:hAnsi="宋体" w:cs="宋体"/>
          <w:color w:val="auto"/>
          <w:sz w:val="24"/>
          <w:highlight w:val="none"/>
          <w:lang w:val="en-US" w:eastAsia="zh-CN"/>
        </w:rPr>
        <w:t>按照采购人要求</w:t>
      </w:r>
      <w:bookmarkEnd w:id="2"/>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3"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3"/>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4"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4"/>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5"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5"/>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凡有意参选者，请点击附件自行下载。</w:t>
      </w:r>
      <w:r>
        <w:rPr>
          <w:rFonts w:hint="eastAsia" w:ascii="宋体" w:hAnsi="宋体" w:cs="宋体"/>
          <w:b/>
          <w:bCs/>
          <w:color w:val="auto"/>
          <w:sz w:val="24"/>
          <w:highlight w:val="none"/>
          <w:lang w:val="en-US" w:eastAsia="zh-CN"/>
        </w:rPr>
        <w:t>如确认参加此次比选，需在2025年07月03日12时前将确认参加比选回执函（详见附件）发送到邮箱</w:t>
      </w:r>
      <w:r>
        <w:rPr>
          <w:rFonts w:hint="eastAsia" w:ascii="宋体" w:hAnsi="宋体" w:eastAsia="宋体" w:cs="宋体"/>
          <w:b/>
          <w:bCs/>
          <w:color w:val="auto"/>
          <w:sz w:val="24"/>
          <w:szCs w:val="24"/>
          <w:highlight w:val="none"/>
          <w:lang w:val="en-US" w:eastAsia="zh-CN"/>
        </w:rPr>
        <w:t>grchhgk@163.com</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未在规定时间内回执的供应商响应文件我方将不予以收取。</w:t>
      </w:r>
    </w:p>
    <w:p>
      <w:pPr>
        <w:keepNext w:val="0"/>
        <w:keepLines w:val="0"/>
        <w:pageBreakBefore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04</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九、公告期限</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w:t>
      </w:r>
      <w:r>
        <w:rPr>
          <w:rFonts w:hint="eastAsia" w:ascii="宋体" w:hAnsi="宋体" w:cs="宋体"/>
          <w:color w:val="auto"/>
          <w:kern w:val="2"/>
          <w:sz w:val="24"/>
          <w:szCs w:val="24"/>
          <w:highlight w:val="none"/>
          <w:lang w:val="en-US" w:eastAsia="zh-CN" w:bidi="ar-SA"/>
        </w:rPr>
        <w:t>3个工作日</w:t>
      </w:r>
      <w:r>
        <w:rPr>
          <w:rFonts w:hint="eastAsia" w:ascii="宋体" w:hAnsi="宋体" w:eastAsia="宋体" w:cs="宋体"/>
          <w:color w:val="auto"/>
          <w:kern w:val="2"/>
          <w:sz w:val="24"/>
          <w:szCs w:val="24"/>
          <w:highlight w:val="none"/>
          <w:lang w:val="en-US" w:eastAsia="zh-CN" w:bidi="ar-SA"/>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bookmarkStart w:id="6" w:name="_Toc26879"/>
    </w:p>
    <w:p>
      <w:pPr>
        <w:pStyle w:val="6"/>
        <w:bidi w:val="0"/>
        <w:jc w:val="center"/>
        <w:rPr>
          <w:rFonts w:hint="eastAsia" w:ascii="宋体" w:hAnsi="宋体" w:cs="宋体"/>
          <w:b/>
          <w:bCs/>
          <w:color w:val="auto"/>
          <w:sz w:val="36"/>
          <w:szCs w:val="36"/>
          <w:highlight w:val="none"/>
          <w:lang w:val="en-US" w:eastAsia="zh-CN"/>
        </w:rPr>
      </w:pPr>
      <w:bookmarkStart w:id="7" w:name="_Toc25146"/>
      <w:r>
        <w:rPr>
          <w:rFonts w:hint="eastAsia" w:ascii="宋体" w:hAnsi="宋体" w:cs="宋体"/>
          <w:b/>
          <w:bCs/>
          <w:color w:val="auto"/>
          <w:sz w:val="36"/>
          <w:szCs w:val="36"/>
          <w:highlight w:val="none"/>
          <w:lang w:val="en-US" w:eastAsia="zh-CN"/>
        </w:rPr>
        <w:t>确认参加比选回执函</w:t>
      </w:r>
      <w:bookmarkEnd w:id="7"/>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8" w:name="_Toc28397"/>
      <w:r>
        <w:rPr>
          <w:rFonts w:hint="eastAsia" w:ascii="宋体" w:hAnsi="宋体" w:eastAsia="宋体" w:cs="宋体"/>
          <w:color w:val="auto"/>
          <w:sz w:val="28"/>
          <w:szCs w:val="28"/>
          <w:highlight w:val="none"/>
          <w:lang w:eastAsia="zh-CN"/>
        </w:rPr>
        <w:t>石家庄承宏工程建设有限公司：</w:t>
      </w:r>
      <w:bookmarkEnd w:id="8"/>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sz w:val="28"/>
          <w:szCs w:val="28"/>
          <w:highlight w:val="none"/>
          <w:u w:val="single"/>
          <w:lang w:eastAsia="zh-CN"/>
        </w:rPr>
        <w:t>地块十四一级管网、二级管网劳务分包采购</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rPr>
          <w:rFonts w:hint="eastAsia"/>
          <w:color w:val="auto"/>
          <w:highlight w:val="none"/>
        </w:rPr>
      </w:pPr>
    </w:p>
    <w:p>
      <w:pPr>
        <w:rPr>
          <w:rFonts w:hint="eastAsia"/>
          <w:color w:val="auto"/>
          <w:highlight w:val="none"/>
        </w:rPr>
      </w:pPr>
    </w:p>
    <w:p>
      <w:pPr>
        <w:pStyle w:val="6"/>
        <w:bidi w:val="0"/>
        <w:jc w:val="center"/>
        <w:rPr>
          <w:rFonts w:hint="eastAsia"/>
          <w:color w:val="auto"/>
          <w:sz w:val="36"/>
          <w:szCs w:val="36"/>
          <w:highlight w:val="none"/>
        </w:rPr>
      </w:pPr>
      <w:bookmarkStart w:id="9"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6"/>
      <w:bookmarkEnd w:id="9"/>
      <w:bookmarkStart w:id="10" w:name="_Toc17889"/>
    </w:p>
    <w:bookmarkEnd w:id="10"/>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1" w:name="_Toc2285"/>
      <w:bookmarkStart w:id="12" w:name="_Toc29085"/>
      <w:r>
        <w:rPr>
          <w:rFonts w:hint="eastAsia" w:ascii="宋体" w:hAnsi="宋体" w:cs="宋体"/>
          <w:b/>
          <w:bCs/>
          <w:color w:val="auto"/>
          <w:sz w:val="24"/>
          <w:highlight w:val="none"/>
          <w:lang w:val="en-US" w:eastAsia="zh-CN"/>
        </w:rPr>
        <w:t>1.对供应商的资格要求</w:t>
      </w:r>
      <w:bookmarkEnd w:id="11"/>
      <w:bookmarkEnd w:id="12"/>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3.本次交易一般规则</w:t>
      </w:r>
    </w:p>
    <w:tbl>
      <w:tblPr>
        <w:tblStyle w:val="22"/>
        <w:tblW w:w="9024" w:type="dxa"/>
        <w:tblInd w:w="91" w:type="dxa"/>
        <w:tblLayout w:type="autofit"/>
        <w:tblCellMar>
          <w:top w:w="0" w:type="dxa"/>
          <w:left w:w="108" w:type="dxa"/>
          <w:bottom w:w="0" w:type="dxa"/>
          <w:right w:w="108" w:type="dxa"/>
        </w:tblCellMar>
      </w:tblPr>
      <w:tblGrid>
        <w:gridCol w:w="1602"/>
        <w:gridCol w:w="1602"/>
        <w:gridCol w:w="1602"/>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cs="宋体"/>
                <w:color w:val="auto"/>
                <w:kern w:val="0"/>
                <w:sz w:val="24"/>
                <w:highlight w:val="none"/>
                <w:u w:val="none"/>
                <w:lang w:val="en-US" w:eastAsia="zh-CN" w:bidi="ar"/>
              </w:rPr>
              <w:t>354779.25</w:t>
            </w:r>
            <w:r>
              <w:rPr>
                <w:rFonts w:hint="eastAsia" w:ascii="宋体" w:hAnsi="宋体" w:cs="宋体"/>
                <w:color w:val="auto"/>
                <w:kern w:val="0"/>
                <w:sz w:val="24"/>
                <w:highlight w:val="none"/>
                <w:u w:val="none"/>
                <w:lang w:bidi="ar"/>
              </w:rPr>
              <w:t>元（含税）</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电子文件：U盘一份（盖章PDF版扫描件）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3"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6"/>
        <w:numPr>
          <w:ilvl w:val="0"/>
          <w:numId w:val="2"/>
        </w:numPr>
        <w:bidi w:val="0"/>
        <w:jc w:val="center"/>
        <w:rPr>
          <w:rFonts w:hint="eastAsia"/>
          <w:color w:val="auto"/>
          <w:sz w:val="36"/>
          <w:szCs w:val="36"/>
          <w:highlight w:val="none"/>
        </w:rPr>
      </w:pPr>
      <w:bookmarkStart w:id="14" w:name="_Toc12933"/>
      <w:r>
        <w:rPr>
          <w:rFonts w:hint="eastAsia"/>
          <w:color w:val="auto"/>
          <w:sz w:val="36"/>
          <w:szCs w:val="36"/>
          <w:highlight w:val="none"/>
        </w:rPr>
        <w:t>采购方法</w:t>
      </w:r>
      <w:bookmarkEnd w:id="13"/>
      <w:bookmarkEnd w:id="14"/>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5"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3.1.1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3.1.2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 xml:space="preserve">3.2.1响应文件的密封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响应文件                                                                                                                                                            3.2.2递交方式和地点见第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章供应商须知                                                  3.2.3在规定的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截止时间前，响应单位可以修改或撤回已递交的响应文件，但应以书面形式通知比选单位：比选单位收到书面通知后，向响应单位出具签收凭证                                                                                                                             3.2.4修改的内容为响应文件的组成部分；修改的响应文件应按规定签字盖章、密封、标识和递交，并标明“修改”字样                                                            3.2.5响应单位对比选采购文件有异议，可在比选采购文件规定的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highlight w:val="none"/>
                <w:lang w:val="en-US" w:eastAsia="zh-CN"/>
              </w:rPr>
            </w:pPr>
            <w:r>
              <w:rPr>
                <w:rFonts w:hint="eastAsia" w:ascii="宋体" w:hAnsi="宋体" w:cs="宋体"/>
                <w:b/>
                <w:bCs/>
                <w:color w:val="auto"/>
                <w:kern w:val="0"/>
                <w:sz w:val="24"/>
                <w:highlight w:val="none"/>
                <w:lang w:val="en-US" w:eastAsia="zh-CN" w:bidi="ar"/>
              </w:rPr>
              <w:t>3.2.6递交响应文件的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sz w:val="24"/>
                <w:highlight w:val="none"/>
                <w:lang w:val="en-US" w:eastAsia="zh-CN"/>
              </w:rPr>
              <w:t>资格后审，</w:t>
            </w:r>
            <w:r>
              <w:rPr>
                <w:rFonts w:hint="eastAsia" w:ascii="宋体" w:hAnsi="宋体" w:cs="宋体"/>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5"/>
    </w:tbl>
    <w:p>
      <w:pPr>
        <w:numPr>
          <w:ilvl w:val="0"/>
          <w:numId w:val="0"/>
        </w:num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6"/>
        <w:bidi w:val="0"/>
        <w:jc w:val="center"/>
        <w:rPr>
          <w:rFonts w:hint="eastAsia"/>
          <w:color w:val="auto"/>
          <w:sz w:val="36"/>
          <w:szCs w:val="36"/>
          <w:highlight w:val="none"/>
        </w:rPr>
      </w:pPr>
      <w:bookmarkStart w:id="16"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6"/>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w:t>
      </w:r>
      <w:r>
        <w:rPr>
          <w:rFonts w:hint="eastAsia" w:ascii="宋体" w:hAnsi="宋体" w:cs="宋体"/>
          <w:color w:val="000000"/>
          <w:kern w:val="0"/>
          <w:sz w:val="24"/>
          <w:highlight w:val="none"/>
          <w:lang w:bidi="ar"/>
        </w:rPr>
        <w:t>详细评审包括</w:t>
      </w:r>
      <w:r>
        <w:rPr>
          <w:rFonts w:hint="eastAsia" w:ascii="宋体" w:hAnsi="宋体" w:cs="宋体"/>
          <w:color w:val="000000"/>
          <w:kern w:val="0"/>
          <w:sz w:val="24"/>
          <w:highlight w:val="none"/>
          <w:lang w:eastAsia="zh-CN" w:bidi="ar"/>
        </w:rPr>
        <w:t>响应</w:t>
      </w:r>
      <w:r>
        <w:rPr>
          <w:rFonts w:hint="eastAsia" w:ascii="宋体" w:hAnsi="宋体" w:cs="宋体"/>
          <w:color w:val="000000"/>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bidi="ar"/>
              </w:rPr>
              <w:t>评审</w:t>
            </w:r>
            <w:r>
              <w:rPr>
                <w:rFonts w:hint="eastAsia" w:asciiTheme="minorEastAsia" w:hAnsiTheme="minorEastAsia" w:eastAsiaTheme="minorEastAsia" w:cstheme="minorEastAsia"/>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bidi="ar"/>
              </w:rPr>
              <w:t>报价部分：</w:t>
            </w:r>
            <w:r>
              <w:rPr>
                <w:rFonts w:hint="eastAsia" w:asciiTheme="minorEastAsia" w:hAnsiTheme="minorEastAsia" w:eastAsiaTheme="minorEastAsia" w:cstheme="minorEastAsia"/>
                <w:sz w:val="21"/>
                <w:szCs w:val="21"/>
                <w:highlight w:val="none"/>
                <w:lang w:val="en-US" w:eastAsia="zh-CN" w:bidi="ar"/>
              </w:rPr>
              <w:t>7</w:t>
            </w:r>
            <w:r>
              <w:rPr>
                <w:rFonts w:hint="eastAsia" w:asciiTheme="minorEastAsia" w:hAnsiTheme="minorEastAsia" w:eastAsiaTheme="minorEastAsia" w:cstheme="minorEastAsia"/>
                <w:sz w:val="21"/>
                <w:szCs w:val="21"/>
                <w:highlight w:val="none"/>
                <w:lang w:bidi="ar"/>
              </w:rPr>
              <w:t>0</w:t>
            </w:r>
            <w:r>
              <w:rPr>
                <w:rFonts w:hint="eastAsia" w:asciiTheme="minorEastAsia" w:hAnsiTheme="minorEastAsia" w:eastAsiaTheme="minorEastAsia" w:cstheme="minorEastAsia"/>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bidi="ar"/>
              </w:rPr>
              <w:t>技术部分</w:t>
            </w:r>
            <w:r>
              <w:rPr>
                <w:rFonts w:hint="eastAsia" w:asciiTheme="minorEastAsia" w:hAnsiTheme="minorEastAsia" w:eastAsiaTheme="minorEastAsia" w:cstheme="minorEastAsia"/>
                <w:sz w:val="21"/>
                <w:szCs w:val="21"/>
                <w:highlight w:val="none"/>
                <w:lang w:eastAsia="zh-CN" w:bidi="ar"/>
              </w:rPr>
              <w:t>（</w:t>
            </w:r>
            <w:r>
              <w:rPr>
                <w:rFonts w:hint="eastAsia" w:asciiTheme="minorEastAsia" w:hAnsiTheme="minorEastAsia" w:eastAsiaTheme="minorEastAsia" w:cstheme="minorEastAsia"/>
                <w:sz w:val="21"/>
                <w:szCs w:val="21"/>
                <w:highlight w:val="none"/>
                <w:lang w:val="en-US" w:eastAsia="zh-CN" w:bidi="ar"/>
              </w:rPr>
              <w:t>技术方案</w:t>
            </w:r>
            <w:r>
              <w:rPr>
                <w:rFonts w:hint="eastAsia" w:asciiTheme="minorEastAsia" w:hAnsiTheme="minorEastAsia" w:eastAsiaTheme="minorEastAsia" w:cstheme="minorEastAsia"/>
                <w:sz w:val="21"/>
                <w:szCs w:val="21"/>
                <w:highlight w:val="none"/>
                <w:lang w:eastAsia="zh-CN" w:bidi="ar"/>
              </w:rPr>
              <w:t>）</w:t>
            </w:r>
            <w:r>
              <w:rPr>
                <w:rFonts w:hint="eastAsia" w:asciiTheme="minorEastAsia" w:hAnsiTheme="minorEastAsia" w:eastAsiaTheme="minorEastAsia" w:cstheme="minorEastAsia"/>
                <w:sz w:val="21"/>
                <w:szCs w:val="21"/>
                <w:highlight w:val="none"/>
                <w:lang w:bidi="ar"/>
              </w:rPr>
              <w:t>：</w:t>
            </w:r>
            <w:r>
              <w:rPr>
                <w:rFonts w:hint="eastAsia" w:asciiTheme="minorEastAsia" w:hAnsiTheme="minorEastAsia" w:eastAsiaTheme="minorEastAsia" w:cstheme="minorEastAsia"/>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bidi="ar"/>
              </w:rPr>
              <w:t>响应</w:t>
            </w:r>
            <w:r>
              <w:rPr>
                <w:rFonts w:hint="eastAsia" w:asciiTheme="minorEastAsia" w:hAnsiTheme="minorEastAsia" w:eastAsiaTheme="minorEastAsia" w:cstheme="minorEastAsia"/>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w:t>
            </w:r>
            <w:r>
              <w:rPr>
                <w:rFonts w:hint="eastAsia" w:asciiTheme="minorEastAsia" w:hAnsiTheme="minorEastAsia" w:eastAsiaTheme="minorEastAsia" w:cstheme="minorEastAsia"/>
                <w:sz w:val="21"/>
                <w:szCs w:val="21"/>
                <w:highlight w:val="none"/>
                <w:lang w:val="en-US" w:eastAsia="zh-CN" w:bidi="ar"/>
              </w:rPr>
              <w:t>70</w:t>
            </w:r>
            <w:r>
              <w:rPr>
                <w:rFonts w:hint="eastAsia" w:asciiTheme="minorEastAsia" w:hAnsiTheme="minorEastAsia" w:eastAsiaTheme="minorEastAsia" w:cstheme="minorEastAsia"/>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bidi="ar"/>
              </w:rPr>
              <w:t>技术方案</w:t>
            </w:r>
            <w:r>
              <w:rPr>
                <w:rFonts w:hint="eastAsia" w:asciiTheme="minorEastAsia" w:hAnsiTheme="minorEastAsia" w:eastAsiaTheme="minorEastAsia" w:cstheme="minorEastAsia"/>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bidi="ar"/>
              </w:rPr>
              <w:t>(</w:t>
            </w:r>
            <w:r>
              <w:rPr>
                <w:rFonts w:hint="eastAsia" w:asciiTheme="minorEastAsia" w:hAnsiTheme="minorEastAsia" w:eastAsiaTheme="minorEastAsia" w:cstheme="minorEastAsia"/>
                <w:sz w:val="21"/>
                <w:szCs w:val="21"/>
                <w:highlight w:val="none"/>
                <w:lang w:val="en-US" w:eastAsia="zh-CN" w:bidi="ar"/>
              </w:rPr>
              <w:t>25</w:t>
            </w:r>
            <w:r>
              <w:rPr>
                <w:rFonts w:hint="eastAsia" w:asciiTheme="minorEastAsia" w:hAnsiTheme="minorEastAsia" w:eastAsiaTheme="minorEastAsia" w:cstheme="minorEastAsia"/>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val="en-US" w:eastAsia="zh-CN" w:bidi="ar"/>
              </w:rPr>
              <w:t>方法措施科学合理得2.41-4.00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val="en-US" w:eastAsia="zh-CN" w:bidi="ar"/>
              </w:rPr>
              <w:t>方法措施</w:t>
            </w:r>
            <w:r>
              <w:rPr>
                <w:rFonts w:hint="eastAsia" w:asciiTheme="minorEastAsia" w:hAnsiTheme="minorEastAsia" w:eastAsiaTheme="minorEastAsia" w:cstheme="minorEastAsia"/>
                <w:color w:val="000000"/>
                <w:sz w:val="21"/>
                <w:szCs w:val="21"/>
                <w:highlight w:val="none"/>
              </w:rPr>
              <w:t>较科学合理</w:t>
            </w:r>
            <w:r>
              <w:rPr>
                <w:rFonts w:hint="eastAsia" w:asciiTheme="minorEastAsia" w:hAnsiTheme="minorEastAsia" w:eastAsiaTheme="minorEastAsia" w:cstheme="minorEastAsia"/>
                <w:sz w:val="21"/>
                <w:szCs w:val="21"/>
                <w:highlight w:val="none"/>
                <w:lang w:val="en-US" w:eastAsia="zh-CN" w:bidi="ar"/>
              </w:rPr>
              <w:t>得1.21-2.40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bidi="ar"/>
              </w:rPr>
              <w:t>方法措施</w:t>
            </w:r>
            <w:r>
              <w:rPr>
                <w:rFonts w:hint="eastAsia" w:asciiTheme="minorEastAsia" w:hAnsiTheme="minorEastAsia" w:eastAsiaTheme="minorEastAsia" w:cstheme="minorEastAsia"/>
                <w:sz w:val="21"/>
                <w:szCs w:val="21"/>
                <w:highlight w:val="none"/>
                <w:lang w:eastAsia="zh-CN" w:bidi="ar"/>
              </w:rPr>
              <w:t>一般</w:t>
            </w:r>
            <w:r>
              <w:rPr>
                <w:rFonts w:hint="eastAsia" w:asciiTheme="minorEastAsia" w:hAnsiTheme="minorEastAsia" w:eastAsiaTheme="minorEastAsia" w:cstheme="minorEastAsia"/>
                <w:sz w:val="21"/>
                <w:szCs w:val="21"/>
                <w:highlight w:val="none"/>
                <w:lang w:val="en-US" w:eastAsia="zh-CN" w:bidi="ar"/>
              </w:rPr>
              <w:t>得0-1.20</w:t>
            </w:r>
            <w:r>
              <w:rPr>
                <w:rFonts w:hint="eastAsia" w:asciiTheme="minorEastAsia" w:hAnsiTheme="minorEastAsia" w:eastAsiaTheme="minorEastAsia" w:cstheme="minorEastAsia"/>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质量保证措施全面可行，科学合理</w:t>
            </w:r>
            <w:r>
              <w:rPr>
                <w:rFonts w:hint="eastAsia" w:asciiTheme="minorEastAsia" w:hAnsiTheme="minorEastAsia" w:eastAsiaTheme="minorEastAsia" w:cstheme="minorEastAsia"/>
                <w:sz w:val="21"/>
                <w:szCs w:val="21"/>
                <w:highlight w:val="none"/>
                <w:lang w:val="en-US" w:eastAsia="zh-CN"/>
              </w:rPr>
              <w:t>得3.6</w:t>
            </w: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质量保证措施基本可行，较合理</w:t>
            </w:r>
            <w:r>
              <w:rPr>
                <w:rFonts w:hint="eastAsia" w:asciiTheme="minorEastAsia" w:hAnsiTheme="minorEastAsia" w:eastAsiaTheme="minorEastAsia" w:cstheme="minorEastAsia"/>
                <w:sz w:val="21"/>
                <w:szCs w:val="21"/>
                <w:highlight w:val="none"/>
                <w:lang w:val="en-US" w:eastAsia="zh-CN"/>
              </w:rPr>
              <w:t>得1.81</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3.6</w:t>
            </w:r>
            <w:r>
              <w:rPr>
                <w:rFonts w:hint="eastAsia" w:asciiTheme="minorEastAsia" w:hAnsiTheme="minorEastAsia" w:eastAsiaTheme="minorEastAsia" w:cstheme="minorEastAsia"/>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rPr>
              <w:t>质量保证措施有缺陷</w:t>
            </w:r>
            <w:r>
              <w:rPr>
                <w:rFonts w:hint="eastAsia" w:asciiTheme="minorEastAsia" w:hAnsiTheme="minorEastAsia" w:eastAsiaTheme="minorEastAsia" w:cstheme="minorEastAsia"/>
                <w:sz w:val="21"/>
                <w:szCs w:val="21"/>
                <w:highlight w:val="none"/>
                <w:lang w:val="en-US" w:eastAsia="zh-CN"/>
              </w:rPr>
              <w:t>得</w:t>
            </w:r>
            <w:r>
              <w:rPr>
                <w:rFonts w:hint="eastAsia" w:asciiTheme="minorEastAsia" w:hAnsiTheme="minorEastAsia" w:eastAsiaTheme="minorEastAsia" w:cstheme="minorEastAsia"/>
                <w:sz w:val="21"/>
                <w:szCs w:val="21"/>
                <w:highlight w:val="none"/>
              </w:rPr>
              <w:t>0.00-</w:t>
            </w:r>
            <w:r>
              <w:rPr>
                <w:rFonts w:hint="eastAsia" w:asciiTheme="minorEastAsia" w:hAnsiTheme="minorEastAsia" w:eastAsiaTheme="minorEastAsia" w:cstheme="minorEastAsia"/>
                <w:sz w:val="21"/>
                <w:szCs w:val="21"/>
                <w:highlight w:val="none"/>
                <w:lang w:val="en-US" w:eastAsia="zh-CN"/>
              </w:rPr>
              <w:t>1.80</w:t>
            </w:r>
            <w:r>
              <w:rPr>
                <w:rFonts w:hint="eastAsia" w:asciiTheme="minorEastAsia" w:hAnsiTheme="minorEastAsia" w:eastAsiaTheme="minorEastAsia" w:cstheme="minor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pacing w:val="-11"/>
                <w:sz w:val="21"/>
                <w:szCs w:val="21"/>
                <w:highlight w:val="none"/>
              </w:rPr>
            </w:pPr>
            <w:r>
              <w:rPr>
                <w:rFonts w:hint="eastAsia" w:asciiTheme="minorEastAsia" w:hAnsiTheme="minorEastAsia" w:eastAsiaTheme="minorEastAsia" w:cstheme="minorEastAsia"/>
                <w:spacing w:val="-11"/>
                <w:sz w:val="21"/>
                <w:szCs w:val="21"/>
                <w:highlight w:val="none"/>
              </w:rPr>
              <w:t>完善并具备符合性、有效性及可行性</w:t>
            </w:r>
            <w:r>
              <w:rPr>
                <w:rFonts w:hint="eastAsia" w:asciiTheme="minorEastAsia" w:hAnsiTheme="minorEastAsia" w:eastAsiaTheme="minorEastAsia" w:cstheme="minorEastAsia"/>
                <w:spacing w:val="-11"/>
                <w:sz w:val="21"/>
                <w:szCs w:val="21"/>
                <w:highlight w:val="none"/>
                <w:lang w:val="en-US" w:eastAsia="zh-CN"/>
              </w:rPr>
              <w:t>得3.6</w:t>
            </w:r>
            <w:r>
              <w:rPr>
                <w:rFonts w:hint="eastAsia" w:asciiTheme="minorEastAsia" w:hAnsiTheme="minorEastAsia" w:eastAsiaTheme="minorEastAsia" w:cstheme="minorEastAsia"/>
                <w:spacing w:val="-11"/>
                <w:sz w:val="21"/>
                <w:szCs w:val="21"/>
                <w:highlight w:val="none"/>
              </w:rPr>
              <w:t>1-</w:t>
            </w:r>
            <w:r>
              <w:rPr>
                <w:rFonts w:hint="eastAsia" w:asciiTheme="minorEastAsia" w:hAnsiTheme="minorEastAsia" w:eastAsiaTheme="minorEastAsia" w:cstheme="minorEastAsia"/>
                <w:spacing w:val="-11"/>
                <w:sz w:val="21"/>
                <w:szCs w:val="21"/>
                <w:highlight w:val="none"/>
                <w:lang w:val="en-US" w:eastAsia="zh-CN"/>
              </w:rPr>
              <w:t>6</w:t>
            </w:r>
            <w:r>
              <w:rPr>
                <w:rFonts w:hint="eastAsia" w:asciiTheme="minorEastAsia" w:hAnsiTheme="minorEastAsia" w:eastAsiaTheme="minorEastAsia" w:cstheme="minorEastAsia"/>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安全管理体系与措施较完善</w:t>
            </w:r>
            <w:r>
              <w:rPr>
                <w:rFonts w:hint="eastAsia" w:asciiTheme="minorEastAsia" w:hAnsiTheme="minorEastAsia" w:eastAsiaTheme="minorEastAsia" w:cstheme="minorEastAsia"/>
                <w:sz w:val="21"/>
                <w:szCs w:val="21"/>
                <w:highlight w:val="none"/>
                <w:lang w:val="en-US" w:eastAsia="zh-CN"/>
              </w:rPr>
              <w:t>得1.8</w:t>
            </w: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3.6</w:t>
            </w:r>
            <w:r>
              <w:rPr>
                <w:rFonts w:hint="eastAsia" w:asciiTheme="minorEastAsia" w:hAnsiTheme="minorEastAsia" w:eastAsiaTheme="minorEastAsia" w:cstheme="minorEastAsia"/>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安全管理体系与措施内容有缺陷</w:t>
            </w:r>
            <w:r>
              <w:rPr>
                <w:rFonts w:hint="eastAsia" w:asciiTheme="minorEastAsia" w:hAnsiTheme="minorEastAsia" w:eastAsiaTheme="minorEastAsia" w:cstheme="minorEastAsia"/>
                <w:sz w:val="21"/>
                <w:szCs w:val="21"/>
                <w:highlight w:val="none"/>
                <w:lang w:val="en-US" w:eastAsia="zh-CN"/>
              </w:rPr>
              <w:t>得</w:t>
            </w:r>
            <w:r>
              <w:rPr>
                <w:rFonts w:hint="eastAsia" w:asciiTheme="minorEastAsia" w:hAnsiTheme="minorEastAsia" w:eastAsiaTheme="minorEastAsia" w:cstheme="minorEastAsia"/>
                <w:sz w:val="21"/>
                <w:szCs w:val="21"/>
                <w:highlight w:val="none"/>
              </w:rPr>
              <w:t>0.00-</w:t>
            </w:r>
            <w:r>
              <w:rPr>
                <w:rFonts w:hint="eastAsia" w:asciiTheme="minorEastAsia" w:hAnsiTheme="minorEastAsia" w:eastAsiaTheme="minorEastAsia" w:cstheme="minorEastAsia"/>
                <w:sz w:val="21"/>
                <w:szCs w:val="21"/>
                <w:highlight w:val="none"/>
                <w:lang w:val="en-US" w:eastAsia="zh-CN"/>
              </w:rPr>
              <w:t>1.8</w:t>
            </w:r>
            <w:r>
              <w:rPr>
                <w:rFonts w:hint="eastAsia" w:asciiTheme="minorEastAsia" w:hAnsiTheme="minorEastAsia" w:eastAsiaTheme="minorEastAsia" w:cstheme="minorEastAsia"/>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主要施工机具、劳动力使用计划（</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val="en-US" w:eastAsia="zh-CN" w:bidi="ar"/>
              </w:rPr>
              <w:t>科学合理得1.81-3.00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color w:val="000000"/>
                <w:sz w:val="21"/>
                <w:szCs w:val="21"/>
                <w:highlight w:val="none"/>
              </w:rPr>
              <w:t>较科学合理</w:t>
            </w:r>
            <w:r>
              <w:rPr>
                <w:rFonts w:hint="eastAsia" w:asciiTheme="minorEastAsia" w:hAnsiTheme="minorEastAsia" w:eastAsiaTheme="minorEastAsia" w:cstheme="minorEastAsia"/>
                <w:sz w:val="21"/>
                <w:szCs w:val="21"/>
                <w:highlight w:val="none"/>
                <w:lang w:val="en-US" w:eastAsia="zh-CN" w:bidi="ar"/>
              </w:rPr>
              <w:t>得0.91-1.80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eastAsia="zh-CN" w:bidi="ar"/>
              </w:rPr>
              <w:t>一般</w:t>
            </w:r>
            <w:r>
              <w:rPr>
                <w:rFonts w:hint="eastAsia" w:asciiTheme="minorEastAsia" w:hAnsiTheme="minorEastAsia" w:eastAsiaTheme="minorEastAsia" w:cstheme="minorEastAsia"/>
                <w:sz w:val="21"/>
                <w:szCs w:val="21"/>
                <w:highlight w:val="none"/>
                <w:lang w:val="en-US" w:eastAsia="zh-CN" w:bidi="ar"/>
              </w:rPr>
              <w:t>得0-0.90</w:t>
            </w:r>
            <w:r>
              <w:rPr>
                <w:rFonts w:hint="eastAsia" w:asciiTheme="minorEastAsia" w:hAnsiTheme="minorEastAsia" w:eastAsiaTheme="minorEastAsia" w:cstheme="minorEastAsia"/>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bidi="ar"/>
              </w:rPr>
              <w:t>2.</w:t>
            </w:r>
            <w:r>
              <w:rPr>
                <w:rFonts w:hint="eastAsia" w:asciiTheme="minorEastAsia" w:hAnsiTheme="minorEastAsia" w:eastAsiaTheme="minorEastAsia" w:cstheme="minorEastAsia"/>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lang w:eastAsia="zh-CN" w:bidi="ar"/>
              </w:rPr>
            </w:pPr>
            <w:r>
              <w:rPr>
                <w:rFonts w:hint="eastAsia" w:asciiTheme="minorEastAsia" w:hAnsiTheme="minorEastAsia" w:eastAsiaTheme="minorEastAsia" w:cstheme="minorEastAsia"/>
                <w:sz w:val="21"/>
                <w:szCs w:val="21"/>
                <w:highlight w:val="none"/>
                <w:lang w:bidi="ar"/>
              </w:rPr>
              <w:t>①各</w:t>
            </w:r>
            <w:r>
              <w:rPr>
                <w:rFonts w:hint="eastAsia" w:asciiTheme="minorEastAsia" w:hAnsiTheme="minorEastAsia" w:eastAsiaTheme="minorEastAsia" w:cstheme="minorEastAsia"/>
                <w:sz w:val="21"/>
                <w:szCs w:val="21"/>
                <w:highlight w:val="none"/>
                <w:lang w:val="en-US" w:eastAsia="zh-CN" w:bidi="ar"/>
              </w:rPr>
              <w:t>供应商</w:t>
            </w:r>
            <w:r>
              <w:rPr>
                <w:rFonts w:hint="eastAsia" w:asciiTheme="minorEastAsia" w:hAnsiTheme="minorEastAsia" w:eastAsiaTheme="minorEastAsia" w:cstheme="minorEastAsia"/>
                <w:sz w:val="21"/>
                <w:szCs w:val="21"/>
                <w:highlight w:val="none"/>
                <w:lang w:bidi="ar"/>
              </w:rPr>
              <w:t>的技术部分得分均为</w:t>
            </w:r>
            <w:r>
              <w:rPr>
                <w:rFonts w:hint="eastAsia" w:asciiTheme="minorEastAsia" w:hAnsiTheme="minorEastAsia" w:eastAsiaTheme="minorEastAsia" w:cstheme="minorEastAsia"/>
                <w:sz w:val="21"/>
                <w:szCs w:val="21"/>
                <w:highlight w:val="none"/>
                <w:lang w:val="en-US" w:eastAsia="zh-CN" w:bidi="ar"/>
              </w:rPr>
              <w:t>评审小组所有成员</w:t>
            </w:r>
            <w:r>
              <w:rPr>
                <w:rFonts w:hint="eastAsia" w:asciiTheme="minorEastAsia" w:hAnsiTheme="minorEastAsia" w:eastAsiaTheme="minorEastAsia" w:cstheme="minorEastAsia"/>
                <w:sz w:val="21"/>
                <w:szCs w:val="21"/>
                <w:highlight w:val="none"/>
                <w:lang w:bidi="ar"/>
              </w:rPr>
              <w:t>打分的平均值</w:t>
            </w:r>
            <w:r>
              <w:rPr>
                <w:rFonts w:hint="eastAsia" w:asciiTheme="minorEastAsia" w:hAnsiTheme="minorEastAsia" w:eastAsiaTheme="minorEastAsia" w:cstheme="minorEastAsia"/>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②</w:t>
            </w:r>
            <w:r>
              <w:rPr>
                <w:rFonts w:hint="eastAsia" w:asciiTheme="minorEastAsia" w:hAnsiTheme="minorEastAsia" w:eastAsiaTheme="minorEastAsia" w:cstheme="minorEastAsia"/>
                <w:sz w:val="21"/>
                <w:szCs w:val="21"/>
                <w:highlight w:val="none"/>
                <w:lang w:val="en-US" w:eastAsia="zh-CN" w:bidi="ar"/>
              </w:rPr>
              <w:t>供应商</w:t>
            </w:r>
            <w:r>
              <w:rPr>
                <w:rFonts w:hint="eastAsia" w:asciiTheme="minorEastAsia" w:hAnsiTheme="minorEastAsia" w:eastAsiaTheme="minorEastAsia" w:cstheme="minorEastAsia"/>
                <w:sz w:val="21"/>
                <w:szCs w:val="21"/>
                <w:highlight w:val="none"/>
                <w:lang w:bidi="ar"/>
              </w:rPr>
              <w:t>最终得分=报价</w:t>
            </w:r>
            <w:r>
              <w:rPr>
                <w:rFonts w:hint="eastAsia" w:asciiTheme="minorEastAsia" w:hAnsiTheme="minorEastAsia" w:eastAsiaTheme="minorEastAsia" w:cstheme="minorEastAsia"/>
                <w:sz w:val="21"/>
                <w:szCs w:val="21"/>
                <w:highlight w:val="none"/>
                <w:lang w:val="en-US" w:eastAsia="zh-CN" w:bidi="ar"/>
              </w:rPr>
              <w:t>部分</w:t>
            </w:r>
            <w:r>
              <w:rPr>
                <w:rFonts w:hint="eastAsia" w:asciiTheme="minorEastAsia" w:hAnsiTheme="minorEastAsia" w:eastAsiaTheme="minorEastAsia" w:cstheme="minorEastAsia"/>
                <w:sz w:val="21"/>
                <w:szCs w:val="21"/>
                <w:highlight w:val="none"/>
                <w:lang w:bidi="ar"/>
              </w:rPr>
              <w:t>得分+技术</w:t>
            </w:r>
            <w:r>
              <w:rPr>
                <w:rFonts w:hint="eastAsia" w:asciiTheme="minorEastAsia" w:hAnsiTheme="minorEastAsia" w:eastAsiaTheme="minorEastAsia" w:cstheme="minorEastAsia"/>
                <w:sz w:val="21"/>
                <w:szCs w:val="21"/>
                <w:highlight w:val="none"/>
                <w:lang w:val="en-US" w:eastAsia="zh-CN" w:bidi="ar"/>
              </w:rPr>
              <w:t>部分</w:t>
            </w:r>
            <w:r>
              <w:rPr>
                <w:rFonts w:hint="eastAsia" w:asciiTheme="minorEastAsia" w:hAnsiTheme="minorEastAsia" w:eastAsiaTheme="minorEastAsia" w:cstheme="minorEastAsia"/>
                <w:sz w:val="21"/>
                <w:szCs w:val="21"/>
                <w:highlight w:val="none"/>
                <w:lang w:bidi="ar"/>
              </w:rPr>
              <w:t>得分</w:t>
            </w:r>
            <w:r>
              <w:rPr>
                <w:rFonts w:hint="eastAsia" w:asciiTheme="minorEastAsia" w:hAnsiTheme="minorEastAsia" w:eastAsiaTheme="minorEastAsia" w:cstheme="minorEastAsia"/>
                <w:sz w:val="21"/>
                <w:szCs w:val="21"/>
                <w:highlight w:val="none"/>
                <w:lang w:val="en-US" w:eastAsia="zh-CN" w:bidi="ar"/>
              </w:rPr>
              <w:t>+商务部分得分</w:t>
            </w:r>
            <w:r>
              <w:rPr>
                <w:rFonts w:hint="eastAsia" w:asciiTheme="minorEastAsia" w:hAnsiTheme="minorEastAsia" w:eastAsiaTheme="minorEastAsia" w:cstheme="minorEastAsia"/>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综合得分并列第一的</w:t>
            </w:r>
            <w:r>
              <w:rPr>
                <w:rFonts w:hint="eastAsia" w:asciiTheme="minorEastAsia" w:hAnsiTheme="minorEastAsia" w:eastAsiaTheme="minorEastAsia" w:cstheme="minorEastAsia"/>
                <w:sz w:val="21"/>
                <w:szCs w:val="21"/>
                <w:highlight w:val="none"/>
                <w:lang w:eastAsia="zh-CN" w:bidi="ar"/>
              </w:rPr>
              <w:t>响应</w:t>
            </w:r>
            <w:r>
              <w:rPr>
                <w:rFonts w:hint="eastAsia" w:asciiTheme="minorEastAsia" w:hAnsiTheme="minorEastAsia" w:eastAsiaTheme="minorEastAsia" w:cstheme="minorEastAsia"/>
                <w:sz w:val="21"/>
                <w:szCs w:val="21"/>
                <w:highlight w:val="none"/>
                <w:lang w:bidi="ar"/>
              </w:rPr>
              <w:t>单位以报价部分得分最高者为拟中</w:t>
            </w:r>
            <w:r>
              <w:rPr>
                <w:rFonts w:hint="eastAsia" w:asciiTheme="minorEastAsia" w:hAnsiTheme="minorEastAsia" w:eastAsiaTheme="minorEastAsia" w:cstheme="minorEastAsia"/>
                <w:sz w:val="21"/>
                <w:szCs w:val="21"/>
                <w:highlight w:val="none"/>
                <w:lang w:eastAsia="zh-CN" w:bidi="ar"/>
              </w:rPr>
              <w:t>选</w:t>
            </w:r>
            <w:r>
              <w:rPr>
                <w:rFonts w:hint="eastAsia" w:asciiTheme="minorEastAsia" w:hAnsiTheme="minorEastAsia" w:eastAsiaTheme="minorEastAsia" w:cstheme="minorEastAsia"/>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000000"/>
          <w:kern w:val="0"/>
          <w:sz w:val="24"/>
          <w:highlight w:val="none"/>
          <w:lang w:bidi="ar"/>
        </w:rPr>
        <w:t>汇总各评委的有效</w:t>
      </w:r>
      <w:r>
        <w:rPr>
          <w:rFonts w:hint="eastAsia" w:ascii="宋体" w:hAnsi="宋体" w:cs="宋体"/>
          <w:color w:val="000000"/>
          <w:kern w:val="0"/>
          <w:sz w:val="24"/>
          <w:highlight w:val="none"/>
          <w:lang w:val="en-US" w:eastAsia="zh-CN" w:bidi="ar"/>
        </w:rPr>
        <w:t>评审</w:t>
      </w:r>
      <w:r>
        <w:rPr>
          <w:rFonts w:hint="eastAsia" w:ascii="宋体" w:hAnsi="宋体" w:cs="宋体"/>
          <w:color w:val="000000"/>
          <w:kern w:val="0"/>
          <w:sz w:val="24"/>
          <w:highlight w:val="none"/>
          <w:lang w:bidi="ar"/>
        </w:rPr>
        <w:t>结果，</w:t>
      </w:r>
      <w:r>
        <w:rPr>
          <w:rFonts w:hint="eastAsia" w:ascii="宋体" w:hAnsi="宋体" w:cs="宋体"/>
          <w:color w:val="000000"/>
          <w:kern w:val="0"/>
          <w:sz w:val="24"/>
          <w:highlight w:val="none"/>
          <w:lang w:val="en-US" w:eastAsia="zh-CN" w:bidi="ar"/>
        </w:rPr>
        <w:t>按照</w:t>
      </w:r>
      <w:r>
        <w:rPr>
          <w:rFonts w:hint="eastAsia" w:ascii="宋体" w:hAnsi="宋体" w:cs="宋体"/>
          <w:sz w:val="24"/>
          <w:highlight w:val="none"/>
          <w:lang w:bidi="ar"/>
        </w:rPr>
        <w:t>综合得分由高到低顺序排序</w:t>
      </w:r>
      <w:r>
        <w:rPr>
          <w:rFonts w:hint="eastAsia" w:ascii="宋体" w:hAnsi="宋体" w:cs="宋体"/>
          <w:color w:val="000000"/>
          <w:kern w:val="0"/>
          <w:sz w:val="24"/>
          <w:highlight w:val="none"/>
          <w:lang w:bidi="ar"/>
        </w:rPr>
        <w:t>，推荐前三名为中标候选人</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7"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7"/>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48"/>
          <w:szCs w:val="48"/>
          <w:highlight w:val="none"/>
          <w:u w:val="none"/>
          <w:lang w:val="en-US" w:eastAsia="zh-CN"/>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地块十四一级管网、二级管网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cs="宋体"/>
          <w:b/>
          <w:bCs/>
          <w:color w:val="auto"/>
          <w:sz w:val="48"/>
          <w:szCs w:val="48"/>
          <w:highlight w:val="none"/>
          <w:u w:val="none"/>
          <w:lang w:val="en-US" w:eastAsia="zh-CN"/>
        </w:rPr>
        <w:t>劳务分包采购</w:t>
      </w:r>
    </w:p>
    <w:p>
      <w:pPr>
        <w:rPr>
          <w:b/>
          <w:bCs/>
          <w:color w:val="auto"/>
          <w:sz w:val="72"/>
          <w:szCs w:val="72"/>
          <w:highlight w:val="none"/>
        </w:rPr>
      </w:pPr>
    </w:p>
    <w:p>
      <w:pPr>
        <w:pStyle w:val="2"/>
        <w:rPr>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12"/>
        <w:rPr>
          <w:rFonts w:ascii="宋体" w:cs="宋体"/>
          <w:color w:val="auto"/>
          <w:sz w:val="32"/>
          <w:szCs w:val="32"/>
          <w:highlight w:val="none"/>
        </w:rPr>
      </w:pPr>
    </w:p>
    <w:p>
      <w:pPr>
        <w:rPr>
          <w:rFonts w:ascii="宋体" w:cs="宋体"/>
          <w:color w:val="auto"/>
          <w:sz w:val="32"/>
          <w:szCs w:val="32"/>
          <w:highlight w:val="none"/>
        </w:rPr>
      </w:pPr>
    </w:p>
    <w:p>
      <w:pPr>
        <w:pStyle w:val="12"/>
        <w:rPr>
          <w:color w:val="auto"/>
          <w:highlight w:val="none"/>
        </w:rPr>
      </w:pPr>
    </w:p>
    <w:p>
      <w:pPr>
        <w:pStyle w:val="1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widowControl/>
        <w:spacing w:before="100" w:beforeAutospacing="1" w:after="100" w:afterAutospacing="1" w:line="315" w:lineRule="atLeast"/>
        <w:jc w:val="center"/>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autoSpaceDE w:val="0"/>
        <w:autoSpaceDN w:val="0"/>
        <w:bidi w:val="0"/>
        <w:adjustRightInd w:val="0"/>
        <w:spacing w:line="5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r>
        <w:rPr>
          <w:rFonts w:hint="eastAsia" w:ascii="宋体" w:hAnsi="宋体"/>
          <w:color w:val="auto"/>
          <w:kern w:val="0"/>
          <w:sz w:val="24"/>
          <w:highlight w:val="none"/>
          <w:lang w:eastAsia="zh-CN"/>
        </w:rPr>
        <w:t>司</w:t>
      </w:r>
    </w:p>
    <w:p>
      <w:pPr>
        <w:keepNext w:val="0"/>
        <w:keepLines w:val="0"/>
        <w:pageBreakBefore w:val="0"/>
        <w:widowControl/>
        <w:kinsoku/>
        <w:wordWrap/>
        <w:overflowPunct/>
        <w:autoSpaceDE w:val="0"/>
        <w:autoSpaceDN w:val="0"/>
        <w:bidi w:val="0"/>
        <w:adjustRightInd w:val="0"/>
        <w:spacing w:line="5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sz w:val="24"/>
          <w:highlight w:val="none"/>
          <w:u w:val="single"/>
          <w:lang w:eastAsia="zh-CN"/>
        </w:rPr>
        <w:t>地块十四一级管网、二级管网劳务分包采购</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sz w:val="24"/>
          <w:highlight w:val="none"/>
          <w:u w:val="single"/>
          <w:lang w:eastAsia="zh-CN"/>
        </w:rPr>
        <w:t>地块十四一级管网、二级管网劳务分包采购</w:t>
      </w:r>
      <w:r>
        <w:rPr>
          <w:rFonts w:ascii="宋体" w:hAnsi="宋体"/>
          <w:color w:val="auto"/>
          <w:kern w:val="0"/>
          <w:sz w:val="24"/>
          <w:highlight w:val="none"/>
        </w:rPr>
        <w:t>工作内容。</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ascii="宋体" w:hAnsi="宋体"/>
          <w:color w:val="auto"/>
          <w:kern w:val="0"/>
          <w:sz w:val="24"/>
          <w:highlight w:val="none"/>
        </w:rPr>
      </w:pP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widowControl/>
        <w:kinsoku/>
        <w:wordWrap/>
        <w:overflowPunct/>
        <w:bidi w:val="0"/>
        <w:adjustRightInd w:val="0"/>
        <w:snapToGrid w:val="0"/>
        <w:spacing w:line="560" w:lineRule="exact"/>
        <w:jc w:val="left"/>
        <w:textAlignment w:val="auto"/>
        <w:rPr>
          <w:rFonts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rPr>
          <w:rFonts w:hint="eastAsia"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keepNext w:val="0"/>
        <w:keepLines w:val="0"/>
        <w:pageBreakBefore w:val="0"/>
        <w:kinsoku/>
        <w:wordWrap/>
        <w:overflowPunct/>
        <w:topLinePunct/>
        <w:bidi w:val="0"/>
        <w:spacing w:line="560" w:lineRule="exact"/>
        <w:ind w:right="-307" w:rightChars="-146" w:firstLine="3360" w:firstLineChars="1400"/>
        <w:textAlignment w:val="auto"/>
        <w:rPr>
          <w:rFonts w:asciiTheme="minorEastAsia" w:hAnsiTheme="minorEastAsia" w:cstheme="minorEastAsia"/>
          <w:color w:val="auto"/>
          <w:sz w:val="24"/>
          <w:highlight w:val="none"/>
        </w:rPr>
      </w:pPr>
      <w:r>
        <w:rPr>
          <w:rFonts w:hint="eastAsia" w:ascii="宋体" w:hAnsi="宋体"/>
          <w:color w:val="auto"/>
          <w:kern w:val="0"/>
          <w:sz w:val="24"/>
          <w:highlight w:val="none"/>
          <w:lang w:val="en-US" w:eastAsia="zh-CN"/>
        </w:rPr>
        <w:t xml:space="preserve">     </w:t>
      </w: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bidi w:val="0"/>
        <w:adjustRightInd w:val="0"/>
        <w:snapToGrid w:val="0"/>
        <w:spacing w:line="56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bidi w:val="0"/>
        <w:adjustRightInd w:val="0"/>
        <w:snapToGrid w:val="0"/>
        <w:spacing w:line="560" w:lineRule="exact"/>
        <w:textAlignment w:val="auto"/>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18" w:name="_Toc10115"/>
      <w:bookmarkStart w:id="19" w:name="_Toc21847"/>
      <w:bookmarkStart w:id="20" w:name="_Toc1445"/>
      <w:bookmarkStart w:id="21" w:name="_Toc7387"/>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8"/>
      <w:bookmarkEnd w:id="19"/>
      <w:bookmarkEnd w:id="20"/>
      <w:bookmarkEnd w:id="21"/>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2" w:name="_Toc21198"/>
      <w:bookmarkStart w:id="23" w:name="_Toc8962"/>
      <w:bookmarkStart w:id="24" w:name="_Toc2164"/>
      <w:bookmarkStart w:id="25" w:name="_Toc30767"/>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2"/>
      <w:bookmarkEnd w:id="23"/>
      <w:bookmarkEnd w:id="24"/>
      <w:bookmarkEnd w:id="25"/>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6" w:name="_Toc21741"/>
      <w:bookmarkStart w:id="27" w:name="_Toc13359"/>
      <w:bookmarkStart w:id="28" w:name="_Toc19454"/>
      <w:bookmarkStart w:id="29" w:name="_Toc13546"/>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6"/>
      <w:bookmarkEnd w:id="27"/>
      <w:bookmarkEnd w:id="28"/>
      <w:bookmarkEnd w:id="29"/>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0" w:name="_Toc4606"/>
      <w:bookmarkStart w:id="31" w:name="_Toc21491"/>
      <w:bookmarkStart w:id="32" w:name="_Toc14486"/>
      <w:bookmarkStart w:id="33" w:name="_Toc21480"/>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30"/>
      <w:bookmarkEnd w:id="31"/>
      <w:bookmarkEnd w:id="32"/>
      <w:bookmarkEnd w:id="33"/>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4" w:name="_Toc676"/>
      <w:bookmarkStart w:id="35" w:name="_Toc149"/>
      <w:bookmarkStart w:id="36" w:name="_Toc3450"/>
      <w:bookmarkStart w:id="37" w:name="_Toc29609"/>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4"/>
      <w:bookmarkEnd w:id="35"/>
      <w:bookmarkEnd w:id="36"/>
      <w:bookmarkEnd w:id="37"/>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8" w:name="_Toc20831"/>
      <w:bookmarkStart w:id="39" w:name="_Toc5118"/>
      <w:r>
        <w:rPr>
          <w:rFonts w:hint="eastAsia" w:ascii="宋体" w:hAnsi="宋体" w:eastAsia="宋体" w:cs="Times New Roman"/>
          <w:b/>
          <w:bCs w:val="0"/>
          <w:color w:val="auto"/>
          <w:kern w:val="0"/>
          <w:sz w:val="32"/>
          <w:szCs w:val="32"/>
          <w:highlight w:val="none"/>
          <w:lang w:val="en-US" w:eastAsia="zh-CN" w:bidi="ar"/>
        </w:rPr>
        <w:t>1.法定代表人身份证明</w:t>
      </w:r>
      <w:bookmarkEnd w:id="38"/>
      <w:bookmarkEnd w:id="39"/>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40" w:name="_Toc27897"/>
      <w:bookmarkStart w:id="41" w:name="_Toc352691662"/>
      <w:bookmarkStart w:id="42" w:name="_Toc369531698"/>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40"/>
      <w:bookmarkEnd w:id="41"/>
      <w:bookmarkEnd w:id="42"/>
      <w:r>
        <w:rPr>
          <w:rFonts w:hint="eastAsia" w:ascii="宋体" w:hAnsi="宋体" w:eastAsia="宋体" w:cs="宋体"/>
          <w:bCs/>
          <w:color w:val="auto"/>
          <w:sz w:val="24"/>
          <w:highlight w:val="none"/>
        </w:rPr>
        <w:t>龄</w:t>
      </w:r>
      <w:bookmarkStart w:id="43" w:name="_Toc300835211"/>
      <w:bookmarkStart w:id="44" w:name="_Toc384308377"/>
      <w:bookmarkStart w:id="45" w:name="_Toc144974858"/>
      <w:bookmarkStart w:id="46" w:name="_Toc247514248"/>
      <w:bookmarkStart w:id="47" w:name="_Toc15573"/>
      <w:bookmarkStart w:id="48" w:name="_Toc369531699"/>
      <w:bookmarkStart w:id="49" w:name="_Toc352691663"/>
      <w:bookmarkStart w:id="50" w:name="_Toc152045789"/>
      <w:bookmarkStart w:id="51" w:name="_Toc247527829"/>
      <w:bookmarkStart w:id="52" w:name="_Toc152042578"/>
      <w:bookmarkStart w:id="53" w:name="_Toc361508754"/>
      <w:r>
        <w:rPr>
          <w:rFonts w:hint="eastAsia" w:ascii="宋体" w:hAnsi="宋体" w:eastAsia="宋体" w:cs="宋体"/>
          <w:bCs/>
          <w:color w:val="auto"/>
          <w:sz w:val="24"/>
          <w:highlight w:val="none"/>
        </w:rPr>
        <w:t>：</w:t>
      </w:r>
      <w:bookmarkEnd w:id="43"/>
      <w:bookmarkEnd w:id="44"/>
      <w:bookmarkEnd w:id="45"/>
      <w:bookmarkEnd w:id="46"/>
      <w:bookmarkEnd w:id="47"/>
      <w:bookmarkEnd w:id="48"/>
      <w:bookmarkEnd w:id="49"/>
      <w:bookmarkEnd w:id="50"/>
      <w:bookmarkEnd w:id="51"/>
      <w:bookmarkEnd w:id="52"/>
      <w:bookmarkEnd w:id="53"/>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4" w:name="_Toc396236625"/>
      <w:bookmarkStart w:id="55" w:name="_Toc16317"/>
      <w:bookmarkStart w:id="56" w:name="_Toc7142"/>
      <w:bookmarkStart w:id="57" w:name="_Toc27295"/>
      <w:bookmarkStart w:id="58" w:name="_Toc13257"/>
      <w:bookmarkStart w:id="59" w:name="_Toc12389"/>
      <w:bookmarkStart w:id="60" w:name="_Toc360630804"/>
      <w:bookmarkStart w:id="61" w:name="_Toc18230"/>
      <w:bookmarkStart w:id="62" w:name="_Toc396236151"/>
      <w:bookmarkStart w:id="63" w:name="_Toc2962"/>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4" w:name="_Toc1346"/>
      <w:bookmarkStart w:id="65" w:name="_Toc17265"/>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4"/>
      <w:bookmarkEnd w:id="55"/>
      <w:bookmarkEnd w:id="56"/>
      <w:bookmarkEnd w:id="57"/>
      <w:bookmarkEnd w:id="58"/>
      <w:bookmarkEnd w:id="59"/>
      <w:bookmarkEnd w:id="60"/>
      <w:bookmarkEnd w:id="61"/>
      <w:bookmarkEnd w:id="62"/>
      <w:bookmarkEnd w:id="63"/>
      <w:bookmarkEnd w:id="64"/>
      <w:bookmarkEnd w:id="65"/>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地块十四一级管网、二级管网劳务分包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w:t>
      </w:r>
      <w:bookmarkStart w:id="85" w:name="_GoBack"/>
      <w:bookmarkEnd w:id="85"/>
      <w:r>
        <w:rPr>
          <w:rFonts w:hint="eastAsia" w:asciiTheme="minorEastAsia" w:hAnsiTheme="minorEastAsia" w:cstheme="minorEastAsia"/>
          <w:color w:val="auto"/>
          <w:sz w:val="24"/>
          <w:highlight w:val="none"/>
        </w:rPr>
        <w:t>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6" w:name="_Toc30751"/>
      <w:bookmarkStart w:id="67" w:name="_Toc28350"/>
      <w:bookmarkStart w:id="68" w:name="_Toc5105"/>
      <w:bookmarkStart w:id="69" w:name="_Toc18023"/>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6"/>
      <w:bookmarkEnd w:id="67"/>
      <w:bookmarkEnd w:id="68"/>
      <w:bookmarkEnd w:id="69"/>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0" w:name="_Toc26767"/>
      <w:bookmarkStart w:id="71" w:name="_Toc24831"/>
      <w:bookmarkStart w:id="72" w:name="_Toc2339"/>
      <w:bookmarkStart w:id="73" w:name="_Toc15030"/>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70"/>
      <w:bookmarkEnd w:id="71"/>
      <w:bookmarkEnd w:id="72"/>
      <w:bookmarkEnd w:id="7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注：1.公司近三年指：2022年01月01日至今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4" w:name="_Toc17330"/>
      <w:bookmarkStart w:id="75" w:name="_Toc11194"/>
      <w:bookmarkStart w:id="76" w:name="_Toc3109"/>
      <w:bookmarkStart w:id="77" w:name="_Toc8006"/>
      <w:bookmarkStart w:id="78"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4"/>
      <w:bookmarkEnd w:id="75"/>
      <w:bookmarkEnd w:id="76"/>
      <w:bookmarkEnd w:id="77"/>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一</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地块十四一级管网、二级管网劳务分包采购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如因农民工工资发放、处置不力，导致农民工有不同形式的上访、闹访、集访等事件发生，项目部可立即停止对我公司劳务工程款的支付，由此造成的一切不良后果和损失由我公司(或个人)承担。</w:t>
      </w:r>
    </w:p>
    <w:p>
      <w:pPr>
        <w:pStyle w:val="2"/>
        <w:tabs>
          <w:tab w:val="left" w:pos="8280"/>
          <w:tab w:val="clear" w:pos="1155"/>
        </w:tabs>
        <w:ind w:firstLine="528"/>
        <w:rPr>
          <w:rFonts w:asciiTheme="minorEastAsia" w:hAnsiTheme="minorEastAsia" w:cstheme="minorEastAsia"/>
          <w:color w:val="auto"/>
          <w:szCs w:val="24"/>
          <w:highlight w:val="none"/>
        </w:rPr>
      </w:pP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pStyle w:val="12"/>
        <w:rPr>
          <w:color w:val="auto"/>
          <w:highlight w:val="none"/>
        </w:rPr>
      </w:pPr>
    </w:p>
    <w:p>
      <w:pPr>
        <w:rPr>
          <w:color w:val="auto"/>
          <w:highlight w:val="none"/>
        </w:rPr>
      </w:pPr>
    </w:p>
    <w:p>
      <w:pPr>
        <w:pStyle w:val="2"/>
        <w:rPr>
          <w:color w:val="auto"/>
          <w:highlight w:val="none"/>
        </w:rPr>
      </w:pPr>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承  诺  书  二</w:t>
      </w: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default" w:eastAsia="宋体" w:asciiTheme="minorEastAsia" w:hAnsiTheme="minorEastAsia" w:cstheme="minorEastAsia"/>
          <w:color w:val="auto"/>
          <w:sz w:val="24"/>
          <w:highlight w:val="none"/>
          <w:lang w:val="en-US" w:eastAsia="zh-CN"/>
        </w:rPr>
        <w:t>1.本次报价包含第一个供热季的调试及试运行费用、站内过滤网清洗，材料进场后卸车和材料二次倒运费用；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default" w:eastAsia="宋体" w:asciiTheme="minorEastAsia" w:hAnsiTheme="minorEastAsia" w:cstheme="minorEastAsia"/>
          <w:color w:val="auto"/>
          <w:sz w:val="24"/>
          <w:highlight w:val="none"/>
          <w:lang w:val="en-US" w:eastAsia="zh-CN"/>
        </w:rPr>
        <w:t>2.包含两个供热季跑冒滴漏维修及管道保温恢复；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default" w:eastAsia="宋体" w:asciiTheme="minorEastAsia" w:hAnsiTheme="minorEastAsia" w:cstheme="minorEastAsia"/>
          <w:color w:val="auto"/>
          <w:sz w:val="24"/>
          <w:highlight w:val="none"/>
          <w:lang w:val="en-US" w:eastAsia="zh-CN"/>
        </w:rPr>
        <w:t>3.本次报价包含可能的协调费、处罚（包含但不限于安全处罚和环保处罚等）、电费、住宿费、工人保险费等一系列费用；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default" w:eastAsia="宋体" w:asciiTheme="minorEastAsia" w:hAnsiTheme="minorEastAsia" w:cstheme="minorEastAsia"/>
          <w:color w:val="auto"/>
          <w:sz w:val="24"/>
          <w:highlight w:val="none"/>
          <w:lang w:val="en-US" w:eastAsia="zh-CN"/>
        </w:rPr>
        <w:t>4.本次报价为固定单价，工程量据实结算；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w:t>
      </w:r>
      <w:r>
        <w:rPr>
          <w:rFonts w:hint="default" w:eastAsia="宋体" w:asciiTheme="minorEastAsia" w:hAnsiTheme="minorEastAsia" w:cstheme="minorEastAsia"/>
          <w:color w:val="auto"/>
          <w:sz w:val="24"/>
          <w:highlight w:val="none"/>
          <w:lang w:val="en-US" w:eastAsia="zh-CN"/>
        </w:rPr>
        <w:t>.含管道及管件、阀门保温补口（含材料，不单独报）；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6</w:t>
      </w:r>
      <w:r>
        <w:rPr>
          <w:rFonts w:hint="default" w:eastAsia="宋体" w:asciiTheme="minorEastAsia" w:hAnsiTheme="minorEastAsia" w:cstheme="minorEastAsia"/>
          <w:color w:val="auto"/>
          <w:sz w:val="24"/>
          <w:highlight w:val="none"/>
          <w:lang w:val="en-US" w:eastAsia="zh-CN"/>
        </w:rPr>
        <w:t>.室外直埋管道安装含补口、沟槽开挖、回填砂（含材料）、管沟回填、余土外运及降尘抑尘措施（包括土方苫盖、雾炮喷淋、场地清理等费用）；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7</w:t>
      </w:r>
      <w:r>
        <w:rPr>
          <w:rFonts w:hint="default" w:eastAsia="宋体" w:asciiTheme="minorEastAsia" w:hAnsiTheme="minorEastAsia" w:cstheme="minorEastAsia"/>
          <w:color w:val="auto"/>
          <w:sz w:val="24"/>
          <w:highlight w:val="none"/>
          <w:lang w:val="en-US" w:eastAsia="zh-CN"/>
        </w:rPr>
        <w:t>.含室外阀门井（含材料），铸铁井盖承宏提供，井室保修二年；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8</w:t>
      </w:r>
      <w:r>
        <w:rPr>
          <w:rFonts w:hint="default" w:eastAsia="宋体" w:asciiTheme="minorEastAsia" w:hAnsiTheme="minorEastAsia" w:cstheme="minorEastAsia"/>
          <w:color w:val="auto"/>
          <w:sz w:val="24"/>
          <w:highlight w:val="none"/>
          <w:lang w:val="en-US" w:eastAsia="zh-CN"/>
        </w:rPr>
        <w:t>.安全文明施工：包含灭火器、安全帽、安全带、警示标志设施、焊烟收集器、垃圾清理等；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9</w:t>
      </w:r>
      <w:r>
        <w:rPr>
          <w:rFonts w:hint="default" w:eastAsia="宋体" w:asciiTheme="minorEastAsia" w:hAnsiTheme="minorEastAsia" w:cstheme="minorEastAsia"/>
          <w:color w:val="auto"/>
          <w:sz w:val="24"/>
          <w:highlight w:val="none"/>
          <w:lang w:val="en-US" w:eastAsia="zh-CN"/>
        </w:rPr>
        <w:t>.配合设备厂家就位；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default" w:eastAsia="宋体" w:asciiTheme="minorEastAsia" w:hAnsiTheme="minorEastAsia" w:cstheme="minorEastAsia"/>
          <w:color w:val="auto"/>
          <w:sz w:val="24"/>
          <w:highlight w:val="none"/>
          <w:lang w:val="en-US" w:eastAsia="zh-CN"/>
        </w:rPr>
        <w:t>1</w:t>
      </w:r>
      <w:r>
        <w:rPr>
          <w:rFonts w:hint="eastAsia" w:asciiTheme="minorEastAsia" w:hAnsiTheme="minorEastAsia" w:cstheme="minorEastAsia"/>
          <w:color w:val="auto"/>
          <w:sz w:val="24"/>
          <w:highlight w:val="none"/>
          <w:lang w:val="en-US" w:eastAsia="zh-CN"/>
        </w:rPr>
        <w:t>0</w:t>
      </w:r>
      <w:r>
        <w:rPr>
          <w:rFonts w:hint="default" w:eastAsia="宋体" w:asciiTheme="minorEastAsia" w:hAnsiTheme="minorEastAsia" w:cstheme="minorEastAsia"/>
          <w:color w:val="auto"/>
          <w:sz w:val="24"/>
          <w:highlight w:val="none"/>
          <w:lang w:val="en-US" w:eastAsia="zh-CN"/>
        </w:rPr>
        <w:t>.各项目按图纸要求进行焊口检测，检测合格率要求达到95%以上，如达不到，按返修口60元/片处罚，并且二次检测费用由劳务承担；合格率低于90%的劳务队伍予以清退。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p>
    <w:p>
      <w:pPr>
        <w:pStyle w:val="2"/>
        <w:rPr>
          <w:rFonts w:hint="default"/>
          <w:highlight w:val="none"/>
          <w:lang w:val="en-US" w:eastAsia="zh-CN"/>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00" w:lineRule="exact"/>
        <w:ind w:firstLine="528"/>
        <w:textAlignment w:val="auto"/>
        <w:rPr>
          <w:color w:val="auto"/>
          <w:highlight w:val="none"/>
        </w:rPr>
      </w:pPr>
      <w:r>
        <w:rPr>
          <w:rFonts w:hint="default"/>
          <w:b/>
          <w:bCs/>
          <w:color w:val="auto"/>
          <w:sz w:val="44"/>
          <w:szCs w:val="52"/>
          <w:highlight w:val="none"/>
          <w:lang w:val="en-US" w:eastAsia="zh-CN"/>
        </w:rPr>
        <w:t xml:space="preserve"> </w:t>
      </w:r>
      <w:r>
        <w:rPr>
          <w:rFonts w:hint="eastAsia" w:asciiTheme="minorEastAsia" w:hAnsiTheme="minorEastAsia" w:cstheme="minorEastAsia"/>
          <w:color w:val="auto"/>
          <w:szCs w:val="24"/>
          <w:highlight w:val="none"/>
        </w:rPr>
        <w:t>特此承诺！</w:t>
      </w:r>
    </w:p>
    <w:p>
      <w:pPr>
        <w:keepNext w:val="0"/>
        <w:keepLines w:val="0"/>
        <w:pageBreakBefore w:val="0"/>
        <w:widowControl w:val="0"/>
        <w:kinsoku/>
        <w:wordWrap/>
        <w:overflowPunct/>
        <w:topLinePunct w:val="0"/>
        <w:autoSpaceDE/>
        <w:autoSpaceDN/>
        <w:bidi w:val="0"/>
        <w:adjustRightInd/>
        <w:snapToGrid/>
        <w:spacing w:line="500" w:lineRule="exact"/>
        <w:ind w:firstLine="4620" w:firstLineChars="1925"/>
        <w:textAlignment w:val="auto"/>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620" w:firstLineChars="1925"/>
        <w:textAlignment w:val="auto"/>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keepNext w:val="0"/>
        <w:keepLines w:val="0"/>
        <w:pageBreakBefore w:val="0"/>
        <w:widowControl w:val="0"/>
        <w:kinsoku/>
        <w:wordWrap/>
        <w:overflowPunct/>
        <w:topLinePunct w:val="0"/>
        <w:autoSpaceDE/>
        <w:autoSpaceDN/>
        <w:bidi w:val="0"/>
        <w:adjustRightInd/>
        <w:snapToGrid/>
        <w:spacing w:line="500" w:lineRule="exact"/>
        <w:ind w:firstLine="4620" w:firstLineChars="1925"/>
        <w:textAlignment w:val="auto"/>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keepNext w:val="0"/>
        <w:keepLines w:val="0"/>
        <w:pageBreakBefore w:val="0"/>
        <w:widowControl w:val="0"/>
        <w:kinsoku/>
        <w:wordWrap/>
        <w:overflowPunct/>
        <w:topLinePunct w:val="0"/>
        <w:autoSpaceDE/>
        <w:autoSpaceDN/>
        <w:bidi w:val="0"/>
        <w:adjustRightInd/>
        <w:snapToGrid/>
        <w:spacing w:line="500" w:lineRule="exact"/>
        <w:ind w:firstLine="5520" w:firstLineChars="2300"/>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rFonts w:hint="eastAsia" w:asciiTheme="minorEastAsia" w:hAnsiTheme="minorEastAsia" w:cstheme="minorEastAsia"/>
          <w:color w:val="auto"/>
          <w:kern w:val="0"/>
          <w:sz w:val="24"/>
          <w:highlight w:val="none"/>
          <w:lang w:bidi="ar"/>
        </w:rPr>
      </w:pPr>
    </w:p>
    <w:p>
      <w:pPr>
        <w:rPr>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9" w:name="_Toc9901"/>
      <w:bookmarkStart w:id="80" w:name="_Toc2867"/>
      <w:bookmarkStart w:id="81" w:name="_Toc23278"/>
      <w:bookmarkStart w:id="82" w:name="_Toc19356"/>
      <w:r>
        <w:rPr>
          <w:rFonts w:hint="eastAsia" w:cs="Times New Roman"/>
          <w:b/>
          <w:bCs w:val="0"/>
          <w:color w:val="auto"/>
          <w:kern w:val="0"/>
          <w:sz w:val="32"/>
          <w:szCs w:val="32"/>
          <w:highlight w:val="none"/>
          <w:lang w:val="en-US" w:eastAsia="zh-CN" w:bidi="ar"/>
        </w:rPr>
        <w:t>十、</w:t>
      </w:r>
      <w:r>
        <w:rPr>
          <w:rFonts w:hint="eastAsia" w:ascii="宋体" w:hAnsi="宋体" w:eastAsia="宋体" w:cs="Times New Roman"/>
          <w:b/>
          <w:bCs w:val="0"/>
          <w:color w:val="auto"/>
          <w:kern w:val="0"/>
          <w:sz w:val="32"/>
          <w:szCs w:val="32"/>
          <w:highlight w:val="none"/>
          <w:lang w:val="en-US" w:eastAsia="zh-CN" w:bidi="ar"/>
        </w:rPr>
        <w:t>劳务清单报价表</w:t>
      </w:r>
      <w:bookmarkEnd w:id="79"/>
      <w:bookmarkEnd w:id="80"/>
      <w:bookmarkEnd w:id="81"/>
      <w:bookmarkEnd w:id="82"/>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eastAsia="zh-CN" w:bidi="ar"/>
        </w:rPr>
        <w:t>（</w:t>
      </w:r>
      <w:r>
        <w:rPr>
          <w:rFonts w:hint="eastAsia" w:asciiTheme="minorEastAsia" w:hAnsiTheme="minorEastAsia" w:cstheme="minorEastAsia"/>
          <w:color w:val="auto"/>
          <w:kern w:val="0"/>
          <w:sz w:val="24"/>
          <w:highlight w:val="none"/>
          <w:lang w:val="en-US" w:eastAsia="zh-CN" w:bidi="ar"/>
        </w:rPr>
        <w:t>详见附件</w:t>
      </w:r>
      <w:r>
        <w:rPr>
          <w:rFonts w:hint="eastAsia" w:asciiTheme="minorEastAsia" w:hAnsiTheme="minorEastAsia" w:cstheme="minorEastAsia"/>
          <w:color w:val="auto"/>
          <w:kern w:val="0"/>
          <w:sz w:val="24"/>
          <w:highlight w:val="none"/>
          <w:lang w:eastAsia="zh-CN" w:bidi="ar"/>
        </w:rPr>
        <w:t>）</w:t>
      </w: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color w:val="auto"/>
          <w:highlight w:val="none"/>
        </w:rPr>
      </w:pPr>
    </w:p>
    <w:p>
      <w:pPr>
        <w:rPr>
          <w:color w:val="auto"/>
          <w:highlight w:val="none"/>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color w:val="auto"/>
          <w:highlight w:val="none"/>
        </w:rPr>
      </w:pPr>
    </w:p>
    <w:bookmarkEnd w:id="78"/>
    <w:p>
      <w:pPr>
        <w:pStyle w:val="6"/>
        <w:numPr>
          <w:ilvl w:val="0"/>
          <w:numId w:val="3"/>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1）施工方法及主要技术措施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2）施工进度计划及保证措施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3）工程质量保证措施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4）安全生产及文明施工措施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5）主要施工机具、劳动力使用计划</w:t>
      </w:r>
    </w:p>
    <w:p>
      <w:pPr>
        <w:tabs>
          <w:tab w:val="left" w:pos="720"/>
        </w:tab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2.图表及格式要求：</w:t>
      </w:r>
    </w:p>
    <w:p>
      <w:pPr>
        <w:tabs>
          <w:tab w:val="left" w:pos="720"/>
        </w:tabs>
        <w:spacing w:line="44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附表一  拟投入的主要施工设备表</w:t>
      </w:r>
    </w:p>
    <w:p>
      <w:pPr>
        <w:tabs>
          <w:tab w:val="left" w:pos="720"/>
        </w:tabs>
        <w:spacing w:line="44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附表二  劳动力计划表</w:t>
      </w: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highlight w:val="none"/>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rPr>
          <w:rFonts w:hint="eastAsia" w:ascii="宋体" w:hAnsi="宋体"/>
          <w:b/>
          <w:sz w:val="28"/>
          <w:szCs w:val="28"/>
          <w:highlight w:val="none"/>
        </w:rPr>
      </w:pPr>
      <w:r>
        <w:rPr>
          <w:rFonts w:hint="eastAsia" w:ascii="宋体" w:hAnsi="宋体"/>
          <w:b/>
          <w:sz w:val="28"/>
          <w:szCs w:val="28"/>
          <w:highlight w:val="none"/>
        </w:rPr>
        <w:t>附表一：拟投入本项目的主要施工设备表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highlight w:val="none"/>
              </w:rPr>
            </w:pPr>
            <w:r>
              <w:rPr>
                <w:rFonts w:hint="eastAsia" w:ascii="宋体" w:hAnsi="宋体"/>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型号</w:t>
            </w:r>
          </w:p>
          <w:p>
            <w:pPr>
              <w:spacing w:line="440" w:lineRule="exact"/>
              <w:jc w:val="center"/>
              <w:rPr>
                <w:rFonts w:ascii="宋体" w:hAnsi="宋体"/>
                <w:szCs w:val="21"/>
                <w:highlight w:val="none"/>
              </w:rPr>
            </w:pPr>
            <w:r>
              <w:rPr>
                <w:rFonts w:hint="eastAsia" w:ascii="宋体" w:hAnsi="宋体"/>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国别</w:t>
            </w:r>
          </w:p>
          <w:p>
            <w:pPr>
              <w:spacing w:line="440" w:lineRule="exact"/>
              <w:jc w:val="center"/>
              <w:rPr>
                <w:rFonts w:ascii="宋体" w:hAnsi="宋体"/>
                <w:szCs w:val="21"/>
                <w:highlight w:val="none"/>
              </w:rPr>
            </w:pPr>
            <w:r>
              <w:rPr>
                <w:rFonts w:hint="eastAsia" w:ascii="宋体" w:hAnsi="宋体"/>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制造</w:t>
            </w:r>
          </w:p>
          <w:p>
            <w:pPr>
              <w:spacing w:line="440" w:lineRule="exact"/>
              <w:jc w:val="center"/>
              <w:rPr>
                <w:rFonts w:ascii="宋体" w:hAnsi="宋体"/>
                <w:szCs w:val="21"/>
                <w:highlight w:val="none"/>
              </w:rPr>
            </w:pPr>
            <w:r>
              <w:rPr>
                <w:rFonts w:hint="eastAsia" w:ascii="宋体" w:hAnsi="宋体"/>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生产</w:t>
            </w:r>
          </w:p>
          <w:p>
            <w:pPr>
              <w:spacing w:line="440" w:lineRule="exact"/>
              <w:jc w:val="center"/>
              <w:rPr>
                <w:rFonts w:ascii="宋体" w:hAnsi="宋体"/>
                <w:szCs w:val="21"/>
                <w:highlight w:val="none"/>
              </w:rPr>
            </w:pPr>
            <w:r>
              <w:rPr>
                <w:rFonts w:hint="eastAsia" w:ascii="宋体" w:hAnsi="宋体"/>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bl>
    <w:p>
      <w:pPr>
        <w:spacing w:line="440" w:lineRule="exact"/>
        <w:rPr>
          <w:rFonts w:hint="eastAsia" w:ascii="宋体" w:hAnsi="宋体"/>
          <w:sz w:val="20"/>
          <w:highlight w:val="none"/>
        </w:rPr>
      </w:pPr>
    </w:p>
    <w:p>
      <w:pPr>
        <w:spacing w:line="440" w:lineRule="exact"/>
        <w:rPr>
          <w:rFonts w:hint="eastAsia" w:ascii="宋体" w:hAnsi="宋体"/>
          <w:sz w:val="20"/>
          <w:highlight w:val="none"/>
        </w:rPr>
      </w:pPr>
    </w:p>
    <w:p>
      <w:pPr>
        <w:pStyle w:val="2"/>
        <w:rPr>
          <w:rFonts w:hint="eastAsia" w:ascii="宋体" w:hAnsi="宋体"/>
          <w:sz w:val="20"/>
          <w:highlight w:val="none"/>
        </w:rPr>
      </w:pPr>
    </w:p>
    <w:p>
      <w:pPr>
        <w:rPr>
          <w:rFonts w:hint="eastAsia" w:ascii="宋体" w:hAnsi="宋体"/>
          <w:sz w:val="20"/>
          <w:highlight w:val="none"/>
        </w:rPr>
      </w:pPr>
    </w:p>
    <w:p>
      <w:pPr>
        <w:pStyle w:val="2"/>
        <w:rPr>
          <w:rFonts w:hint="eastAsia"/>
          <w:highlight w:val="none"/>
        </w:rPr>
      </w:pPr>
    </w:p>
    <w:p>
      <w:pPr>
        <w:rPr>
          <w:rFonts w:hint="eastAsia" w:ascii="宋体" w:hAnsi="宋体"/>
          <w:b/>
          <w:sz w:val="28"/>
          <w:szCs w:val="28"/>
          <w:highlight w:val="none"/>
        </w:rPr>
      </w:pPr>
      <w:r>
        <w:rPr>
          <w:rFonts w:hint="eastAsia" w:ascii="宋体" w:hAnsi="宋体"/>
          <w:b/>
          <w:sz w:val="28"/>
          <w:szCs w:val="28"/>
          <w:highlight w:val="none"/>
        </w:rPr>
        <w:t>附表二：劳动力计划表</w:t>
      </w:r>
    </w:p>
    <w:p>
      <w:pPr>
        <w:spacing w:line="440" w:lineRule="exact"/>
        <w:ind w:right="620"/>
        <w:jc w:val="right"/>
        <w:rPr>
          <w:rFonts w:hint="eastAsia" w:ascii="宋体" w:hAnsi="宋体"/>
          <w:szCs w:val="21"/>
          <w:highlight w:val="none"/>
        </w:rPr>
      </w:pPr>
      <w:r>
        <w:rPr>
          <w:rFonts w:hint="eastAsia" w:ascii="宋体" w:hAnsi="宋体"/>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bl>
    <w:p>
      <w:pPr>
        <w:pStyle w:val="13"/>
        <w:rPr>
          <w:rFonts w:hint="eastAsia" w:hAnsi="宋体" w:cs="Courier New"/>
          <w:highlight w:val="none"/>
        </w:rPr>
      </w:pPr>
    </w:p>
    <w:p>
      <w:pPr>
        <w:pStyle w:val="2"/>
        <w:rPr>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DA0FB"/>
    <w:multiLevelType w:val="singleLevel"/>
    <w:tmpl w:val="C50DA0FB"/>
    <w:lvl w:ilvl="0" w:tentative="0">
      <w:start w:val="3"/>
      <w:numFmt w:val="chineseCounting"/>
      <w:suff w:val="space"/>
      <w:lvlText w:val="第%1章"/>
      <w:lvlJc w:val="left"/>
      <w:rPr>
        <w:rFonts w:hint="eastAsia"/>
      </w:rPr>
    </w:lvl>
  </w:abstractNum>
  <w:abstractNum w:abstractNumId="1">
    <w:nsid w:val="D4385211"/>
    <w:multiLevelType w:val="singleLevel"/>
    <w:tmpl w:val="D4385211"/>
    <w:lvl w:ilvl="0" w:tentative="0">
      <w:start w:val="11"/>
      <w:numFmt w:val="chineseCounting"/>
      <w:suff w:val="nothing"/>
      <w:lvlText w:val="%1、"/>
      <w:lvlJc w:val="left"/>
      <w:rPr>
        <w:rFonts w:hint="eastAsia"/>
      </w:rPr>
    </w:lvl>
  </w:abstractNum>
  <w:abstractNum w:abstractNumId="2">
    <w:nsid w:val="ED7556D4"/>
    <w:multiLevelType w:val="singleLevel"/>
    <w:tmpl w:val="ED7556D4"/>
    <w:lvl w:ilvl="0" w:tentative="0">
      <w:start w:val="1"/>
      <w:numFmt w:val="decimal"/>
      <w:suff w:val="nothing"/>
      <w:lvlText w:val="（%1）"/>
      <w:lvlJc w:val="left"/>
      <w:pPr>
        <w:ind w:left="81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56177E"/>
    <w:rsid w:val="015C66DF"/>
    <w:rsid w:val="01BC027B"/>
    <w:rsid w:val="01CD47B6"/>
    <w:rsid w:val="01E46384"/>
    <w:rsid w:val="021466B3"/>
    <w:rsid w:val="02482F74"/>
    <w:rsid w:val="02691984"/>
    <w:rsid w:val="0295277A"/>
    <w:rsid w:val="02DE0761"/>
    <w:rsid w:val="02E36786"/>
    <w:rsid w:val="02E378B3"/>
    <w:rsid w:val="02F519F3"/>
    <w:rsid w:val="03024860"/>
    <w:rsid w:val="031418F0"/>
    <w:rsid w:val="0330707F"/>
    <w:rsid w:val="03403BCC"/>
    <w:rsid w:val="03773FC1"/>
    <w:rsid w:val="03806F86"/>
    <w:rsid w:val="03B64756"/>
    <w:rsid w:val="03B66504"/>
    <w:rsid w:val="03E24CA9"/>
    <w:rsid w:val="04041965"/>
    <w:rsid w:val="0430275A"/>
    <w:rsid w:val="046E69E5"/>
    <w:rsid w:val="04D62941"/>
    <w:rsid w:val="04FF037E"/>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D6892"/>
    <w:rsid w:val="091044EC"/>
    <w:rsid w:val="095F13EB"/>
    <w:rsid w:val="09B74B30"/>
    <w:rsid w:val="09CF1C32"/>
    <w:rsid w:val="0ACF61B8"/>
    <w:rsid w:val="0AD211C7"/>
    <w:rsid w:val="0AF40659"/>
    <w:rsid w:val="0B09160F"/>
    <w:rsid w:val="0B3A6748"/>
    <w:rsid w:val="0B4437B1"/>
    <w:rsid w:val="0B4D7ACC"/>
    <w:rsid w:val="0B910ED9"/>
    <w:rsid w:val="0BDD06D2"/>
    <w:rsid w:val="0C0F0E5D"/>
    <w:rsid w:val="0C450D6C"/>
    <w:rsid w:val="0C4F5B11"/>
    <w:rsid w:val="0C873BC0"/>
    <w:rsid w:val="0CA75FE9"/>
    <w:rsid w:val="0CF07C3A"/>
    <w:rsid w:val="0CFD1FA3"/>
    <w:rsid w:val="0D1644B7"/>
    <w:rsid w:val="0D6830E6"/>
    <w:rsid w:val="0D8F1A4E"/>
    <w:rsid w:val="0DB671A8"/>
    <w:rsid w:val="0DD76319"/>
    <w:rsid w:val="0E1053AA"/>
    <w:rsid w:val="0E1244F4"/>
    <w:rsid w:val="0E195CD7"/>
    <w:rsid w:val="0E245572"/>
    <w:rsid w:val="0E255E68"/>
    <w:rsid w:val="0E6D7D87"/>
    <w:rsid w:val="0E7A447D"/>
    <w:rsid w:val="0E8B20F7"/>
    <w:rsid w:val="0EA63619"/>
    <w:rsid w:val="0ECD26A8"/>
    <w:rsid w:val="0F0C5B71"/>
    <w:rsid w:val="0F11138C"/>
    <w:rsid w:val="0F1C55DE"/>
    <w:rsid w:val="0F4D38FA"/>
    <w:rsid w:val="0F751406"/>
    <w:rsid w:val="0FB334F2"/>
    <w:rsid w:val="0FCA25C0"/>
    <w:rsid w:val="10122F15"/>
    <w:rsid w:val="103847A1"/>
    <w:rsid w:val="10484EAB"/>
    <w:rsid w:val="10530920"/>
    <w:rsid w:val="10EE41A2"/>
    <w:rsid w:val="10F6674B"/>
    <w:rsid w:val="110765D4"/>
    <w:rsid w:val="115647A1"/>
    <w:rsid w:val="123D251C"/>
    <w:rsid w:val="12945BE2"/>
    <w:rsid w:val="12E50BB3"/>
    <w:rsid w:val="12F933E4"/>
    <w:rsid w:val="12FB03D7"/>
    <w:rsid w:val="130A45A0"/>
    <w:rsid w:val="13542D2B"/>
    <w:rsid w:val="13602D13"/>
    <w:rsid w:val="137F7DA4"/>
    <w:rsid w:val="13B42F5A"/>
    <w:rsid w:val="13B60AF5"/>
    <w:rsid w:val="13C73778"/>
    <w:rsid w:val="13D247DC"/>
    <w:rsid w:val="13D529D6"/>
    <w:rsid w:val="140E5CC7"/>
    <w:rsid w:val="146503D1"/>
    <w:rsid w:val="14AE6D61"/>
    <w:rsid w:val="151439D2"/>
    <w:rsid w:val="15282BA2"/>
    <w:rsid w:val="15491DB4"/>
    <w:rsid w:val="154C06FA"/>
    <w:rsid w:val="15891FD5"/>
    <w:rsid w:val="15CA1404"/>
    <w:rsid w:val="15D46CBD"/>
    <w:rsid w:val="15E80F18"/>
    <w:rsid w:val="15F27E2C"/>
    <w:rsid w:val="162815F2"/>
    <w:rsid w:val="1698748D"/>
    <w:rsid w:val="16D3294B"/>
    <w:rsid w:val="17530D90"/>
    <w:rsid w:val="176063AF"/>
    <w:rsid w:val="17AA2ACD"/>
    <w:rsid w:val="17D664FB"/>
    <w:rsid w:val="17DA603F"/>
    <w:rsid w:val="1803792E"/>
    <w:rsid w:val="18253800"/>
    <w:rsid w:val="182A12BF"/>
    <w:rsid w:val="18510A99"/>
    <w:rsid w:val="18566E61"/>
    <w:rsid w:val="191F641D"/>
    <w:rsid w:val="193A6D97"/>
    <w:rsid w:val="193F08F1"/>
    <w:rsid w:val="195C0217"/>
    <w:rsid w:val="196378AE"/>
    <w:rsid w:val="196D36B1"/>
    <w:rsid w:val="19836A30"/>
    <w:rsid w:val="19B16F80"/>
    <w:rsid w:val="19D90313"/>
    <w:rsid w:val="19E60E4E"/>
    <w:rsid w:val="1A112A98"/>
    <w:rsid w:val="1A501D28"/>
    <w:rsid w:val="1A673E98"/>
    <w:rsid w:val="1A722F8D"/>
    <w:rsid w:val="1A733326"/>
    <w:rsid w:val="1A9058A9"/>
    <w:rsid w:val="1AAB26E2"/>
    <w:rsid w:val="1AD4629B"/>
    <w:rsid w:val="1ADF6B10"/>
    <w:rsid w:val="1B4B3CE5"/>
    <w:rsid w:val="1B7C32A7"/>
    <w:rsid w:val="1B8C7FC0"/>
    <w:rsid w:val="1BB90559"/>
    <w:rsid w:val="1BC11D23"/>
    <w:rsid w:val="1BD50803"/>
    <w:rsid w:val="1BDD1C2D"/>
    <w:rsid w:val="1BDE68FA"/>
    <w:rsid w:val="1C143DF4"/>
    <w:rsid w:val="1C204A0A"/>
    <w:rsid w:val="1C28484D"/>
    <w:rsid w:val="1C457F29"/>
    <w:rsid w:val="1C712174"/>
    <w:rsid w:val="1C780D06"/>
    <w:rsid w:val="1C8E5517"/>
    <w:rsid w:val="1C9167E2"/>
    <w:rsid w:val="1CEE01FD"/>
    <w:rsid w:val="1CFD2E14"/>
    <w:rsid w:val="1D317BC8"/>
    <w:rsid w:val="1D8A58BD"/>
    <w:rsid w:val="1DA94467"/>
    <w:rsid w:val="1DAB1C4E"/>
    <w:rsid w:val="1DB45209"/>
    <w:rsid w:val="1DF0665E"/>
    <w:rsid w:val="1DF158E7"/>
    <w:rsid w:val="1E326C77"/>
    <w:rsid w:val="1E815B99"/>
    <w:rsid w:val="1E9D5C4E"/>
    <w:rsid w:val="1EAC6A29"/>
    <w:rsid w:val="1EEE2B9E"/>
    <w:rsid w:val="1F61797E"/>
    <w:rsid w:val="1F6327D4"/>
    <w:rsid w:val="1F856646"/>
    <w:rsid w:val="1FBD4650"/>
    <w:rsid w:val="20791647"/>
    <w:rsid w:val="20966927"/>
    <w:rsid w:val="20FF79BF"/>
    <w:rsid w:val="212B632B"/>
    <w:rsid w:val="216F1AEC"/>
    <w:rsid w:val="21910F4E"/>
    <w:rsid w:val="219F2875"/>
    <w:rsid w:val="21B75E11"/>
    <w:rsid w:val="21D2790B"/>
    <w:rsid w:val="22317971"/>
    <w:rsid w:val="2254540E"/>
    <w:rsid w:val="225C20C9"/>
    <w:rsid w:val="225C23A6"/>
    <w:rsid w:val="22CA17DD"/>
    <w:rsid w:val="22F814A8"/>
    <w:rsid w:val="231A075E"/>
    <w:rsid w:val="234B5903"/>
    <w:rsid w:val="234D0AD8"/>
    <w:rsid w:val="23560464"/>
    <w:rsid w:val="241F1A4B"/>
    <w:rsid w:val="2423778D"/>
    <w:rsid w:val="24241FC4"/>
    <w:rsid w:val="242B0311"/>
    <w:rsid w:val="24325B9D"/>
    <w:rsid w:val="243341C2"/>
    <w:rsid w:val="247973AD"/>
    <w:rsid w:val="24A616FA"/>
    <w:rsid w:val="24CB4246"/>
    <w:rsid w:val="25010274"/>
    <w:rsid w:val="254A5A35"/>
    <w:rsid w:val="255E767B"/>
    <w:rsid w:val="256C658B"/>
    <w:rsid w:val="25787A64"/>
    <w:rsid w:val="258F63EA"/>
    <w:rsid w:val="25995468"/>
    <w:rsid w:val="263830D3"/>
    <w:rsid w:val="26734A4E"/>
    <w:rsid w:val="268B0CC8"/>
    <w:rsid w:val="26FD2EB0"/>
    <w:rsid w:val="27076141"/>
    <w:rsid w:val="27135B8A"/>
    <w:rsid w:val="276D0DCF"/>
    <w:rsid w:val="2775496D"/>
    <w:rsid w:val="27F703DA"/>
    <w:rsid w:val="28042BB9"/>
    <w:rsid w:val="286936B4"/>
    <w:rsid w:val="286C6B36"/>
    <w:rsid w:val="28707ECA"/>
    <w:rsid w:val="28C3509B"/>
    <w:rsid w:val="2907532F"/>
    <w:rsid w:val="2910157E"/>
    <w:rsid w:val="297B3226"/>
    <w:rsid w:val="299A0D32"/>
    <w:rsid w:val="29EB065A"/>
    <w:rsid w:val="2A0D122A"/>
    <w:rsid w:val="2A2658E2"/>
    <w:rsid w:val="2A7C30BA"/>
    <w:rsid w:val="2A984BE7"/>
    <w:rsid w:val="2A9F7442"/>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562DE4"/>
    <w:rsid w:val="2DAF2092"/>
    <w:rsid w:val="2DBA2F55"/>
    <w:rsid w:val="2E8B665B"/>
    <w:rsid w:val="2EBE11F1"/>
    <w:rsid w:val="2EC63817"/>
    <w:rsid w:val="2FE43DD4"/>
    <w:rsid w:val="30240B15"/>
    <w:rsid w:val="303D0613"/>
    <w:rsid w:val="30403DE9"/>
    <w:rsid w:val="30622AB9"/>
    <w:rsid w:val="30A746DC"/>
    <w:rsid w:val="30AA1882"/>
    <w:rsid w:val="30EF0850"/>
    <w:rsid w:val="3112086C"/>
    <w:rsid w:val="31181622"/>
    <w:rsid w:val="3122326C"/>
    <w:rsid w:val="31504BCA"/>
    <w:rsid w:val="3179279B"/>
    <w:rsid w:val="31794157"/>
    <w:rsid w:val="31A274B0"/>
    <w:rsid w:val="31B330A9"/>
    <w:rsid w:val="31E57A28"/>
    <w:rsid w:val="32010D08"/>
    <w:rsid w:val="321C62E8"/>
    <w:rsid w:val="329F7084"/>
    <w:rsid w:val="32CD234D"/>
    <w:rsid w:val="330508B6"/>
    <w:rsid w:val="33313F35"/>
    <w:rsid w:val="33B40CA0"/>
    <w:rsid w:val="33D44600"/>
    <w:rsid w:val="34BC04BE"/>
    <w:rsid w:val="34C0625E"/>
    <w:rsid w:val="34C757E7"/>
    <w:rsid w:val="35287674"/>
    <w:rsid w:val="354547DD"/>
    <w:rsid w:val="355318B8"/>
    <w:rsid w:val="357C7C52"/>
    <w:rsid w:val="359E527F"/>
    <w:rsid w:val="35CC1E73"/>
    <w:rsid w:val="35D20537"/>
    <w:rsid w:val="35E55632"/>
    <w:rsid w:val="35EC2E63"/>
    <w:rsid w:val="35F24ED4"/>
    <w:rsid w:val="35F50137"/>
    <w:rsid w:val="36574772"/>
    <w:rsid w:val="36986A0F"/>
    <w:rsid w:val="36E81282"/>
    <w:rsid w:val="37421592"/>
    <w:rsid w:val="374750E9"/>
    <w:rsid w:val="374B6987"/>
    <w:rsid w:val="37BA1D5F"/>
    <w:rsid w:val="386C12AB"/>
    <w:rsid w:val="387C6CD3"/>
    <w:rsid w:val="38BD3C39"/>
    <w:rsid w:val="38CC1E7E"/>
    <w:rsid w:val="38E10C17"/>
    <w:rsid w:val="39072947"/>
    <w:rsid w:val="390F0E67"/>
    <w:rsid w:val="39351138"/>
    <w:rsid w:val="3961076D"/>
    <w:rsid w:val="39671A73"/>
    <w:rsid w:val="398A6F78"/>
    <w:rsid w:val="398B6DCA"/>
    <w:rsid w:val="3A3C6F5F"/>
    <w:rsid w:val="3A5B15D7"/>
    <w:rsid w:val="3A7B01B9"/>
    <w:rsid w:val="3A84498A"/>
    <w:rsid w:val="3A9453AE"/>
    <w:rsid w:val="3B6F42AD"/>
    <w:rsid w:val="3B7C7A57"/>
    <w:rsid w:val="3B826922"/>
    <w:rsid w:val="3B861270"/>
    <w:rsid w:val="3B8F3959"/>
    <w:rsid w:val="3BB261EF"/>
    <w:rsid w:val="3BD15BD6"/>
    <w:rsid w:val="3C0435A9"/>
    <w:rsid w:val="3C436364"/>
    <w:rsid w:val="3C4A598C"/>
    <w:rsid w:val="3C4E2A76"/>
    <w:rsid w:val="3C9B2663"/>
    <w:rsid w:val="3CA05C88"/>
    <w:rsid w:val="3CD411CD"/>
    <w:rsid w:val="3CF278A5"/>
    <w:rsid w:val="3D5F318D"/>
    <w:rsid w:val="3D78251B"/>
    <w:rsid w:val="3D78424E"/>
    <w:rsid w:val="3D7B31B9"/>
    <w:rsid w:val="3DBB7565"/>
    <w:rsid w:val="3DEC244C"/>
    <w:rsid w:val="3DF12AE1"/>
    <w:rsid w:val="3DFD2430"/>
    <w:rsid w:val="3E2D0960"/>
    <w:rsid w:val="3E5B4F95"/>
    <w:rsid w:val="3E5E55D0"/>
    <w:rsid w:val="3EA70EC3"/>
    <w:rsid w:val="3EA7714D"/>
    <w:rsid w:val="3ED00783"/>
    <w:rsid w:val="3F1F2850"/>
    <w:rsid w:val="3F351CC9"/>
    <w:rsid w:val="3F550D6D"/>
    <w:rsid w:val="3F551E8B"/>
    <w:rsid w:val="3F6D4AB2"/>
    <w:rsid w:val="3F8F2D64"/>
    <w:rsid w:val="3FAC772F"/>
    <w:rsid w:val="3FD1041F"/>
    <w:rsid w:val="4007741B"/>
    <w:rsid w:val="4073162B"/>
    <w:rsid w:val="40B6335A"/>
    <w:rsid w:val="40CD665F"/>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E642DB"/>
    <w:rsid w:val="430371A9"/>
    <w:rsid w:val="430F4DE6"/>
    <w:rsid w:val="431007DA"/>
    <w:rsid w:val="43154FCB"/>
    <w:rsid w:val="4336151A"/>
    <w:rsid w:val="439416B6"/>
    <w:rsid w:val="43C747A4"/>
    <w:rsid w:val="440C3942"/>
    <w:rsid w:val="44872505"/>
    <w:rsid w:val="44990651"/>
    <w:rsid w:val="44A07152"/>
    <w:rsid w:val="451653FF"/>
    <w:rsid w:val="45770626"/>
    <w:rsid w:val="459933EC"/>
    <w:rsid w:val="45D941B9"/>
    <w:rsid w:val="45DC1F0A"/>
    <w:rsid w:val="45E16C49"/>
    <w:rsid w:val="4612658A"/>
    <w:rsid w:val="4678706D"/>
    <w:rsid w:val="468C4E2B"/>
    <w:rsid w:val="470C5DCB"/>
    <w:rsid w:val="47105C65"/>
    <w:rsid w:val="47147DDF"/>
    <w:rsid w:val="47555600"/>
    <w:rsid w:val="47D86424"/>
    <w:rsid w:val="47D97FDF"/>
    <w:rsid w:val="47DA640E"/>
    <w:rsid w:val="481A1ABE"/>
    <w:rsid w:val="4824202D"/>
    <w:rsid w:val="48475751"/>
    <w:rsid w:val="484A67E7"/>
    <w:rsid w:val="48820171"/>
    <w:rsid w:val="48827109"/>
    <w:rsid w:val="488A296E"/>
    <w:rsid w:val="48A26623"/>
    <w:rsid w:val="48D807B4"/>
    <w:rsid w:val="490B10E2"/>
    <w:rsid w:val="491645BB"/>
    <w:rsid w:val="491C63D6"/>
    <w:rsid w:val="495917D4"/>
    <w:rsid w:val="495E3FFB"/>
    <w:rsid w:val="49642028"/>
    <w:rsid w:val="49777A9F"/>
    <w:rsid w:val="497C2C57"/>
    <w:rsid w:val="49831106"/>
    <w:rsid w:val="49EC224C"/>
    <w:rsid w:val="4A054E7C"/>
    <w:rsid w:val="4A16118F"/>
    <w:rsid w:val="4A8D6A8D"/>
    <w:rsid w:val="4A9C24DA"/>
    <w:rsid w:val="4A9D27AC"/>
    <w:rsid w:val="4AB52BE8"/>
    <w:rsid w:val="4AF24FBC"/>
    <w:rsid w:val="4B67770B"/>
    <w:rsid w:val="4BBB3347"/>
    <w:rsid w:val="4BEB29DC"/>
    <w:rsid w:val="4BED32E8"/>
    <w:rsid w:val="4C004579"/>
    <w:rsid w:val="4C060A66"/>
    <w:rsid w:val="4C343A36"/>
    <w:rsid w:val="4C371E51"/>
    <w:rsid w:val="4C5F0208"/>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F146DD"/>
    <w:rsid w:val="4E16288F"/>
    <w:rsid w:val="4E51725E"/>
    <w:rsid w:val="4E584EC0"/>
    <w:rsid w:val="4EDD2A65"/>
    <w:rsid w:val="4EFA0F67"/>
    <w:rsid w:val="4F0C0C9A"/>
    <w:rsid w:val="4F145222"/>
    <w:rsid w:val="4F422DFE"/>
    <w:rsid w:val="4F78060E"/>
    <w:rsid w:val="4F804B45"/>
    <w:rsid w:val="4F872BAD"/>
    <w:rsid w:val="4FA642AC"/>
    <w:rsid w:val="4FA91569"/>
    <w:rsid w:val="4FDE35F9"/>
    <w:rsid w:val="4FE614EB"/>
    <w:rsid w:val="500D6A78"/>
    <w:rsid w:val="50320027"/>
    <w:rsid w:val="503A5697"/>
    <w:rsid w:val="504058BC"/>
    <w:rsid w:val="50827466"/>
    <w:rsid w:val="5099042C"/>
    <w:rsid w:val="50A82C45"/>
    <w:rsid w:val="50D40202"/>
    <w:rsid w:val="50D457E8"/>
    <w:rsid w:val="512B6180"/>
    <w:rsid w:val="5153495F"/>
    <w:rsid w:val="517843C5"/>
    <w:rsid w:val="51CA3667"/>
    <w:rsid w:val="522C3700"/>
    <w:rsid w:val="52355520"/>
    <w:rsid w:val="526C4D2E"/>
    <w:rsid w:val="53062BA0"/>
    <w:rsid w:val="53365718"/>
    <w:rsid w:val="53566988"/>
    <w:rsid w:val="53A073DA"/>
    <w:rsid w:val="53B2143C"/>
    <w:rsid w:val="53C97369"/>
    <w:rsid w:val="53E9751D"/>
    <w:rsid w:val="54120B01"/>
    <w:rsid w:val="542B5596"/>
    <w:rsid w:val="54336CC9"/>
    <w:rsid w:val="543A5C5E"/>
    <w:rsid w:val="54C40F6E"/>
    <w:rsid w:val="54CA42CA"/>
    <w:rsid w:val="54CC3E9E"/>
    <w:rsid w:val="55434CEA"/>
    <w:rsid w:val="555B736E"/>
    <w:rsid w:val="55933427"/>
    <w:rsid w:val="5596368D"/>
    <w:rsid w:val="559A389F"/>
    <w:rsid w:val="55A26B8A"/>
    <w:rsid w:val="55C53202"/>
    <w:rsid w:val="55DB13C7"/>
    <w:rsid w:val="55E83909"/>
    <w:rsid w:val="56124180"/>
    <w:rsid w:val="56222B52"/>
    <w:rsid w:val="56294ABC"/>
    <w:rsid w:val="564A7D70"/>
    <w:rsid w:val="56737851"/>
    <w:rsid w:val="567614FF"/>
    <w:rsid w:val="56B13549"/>
    <w:rsid w:val="56FD4968"/>
    <w:rsid w:val="57037FEE"/>
    <w:rsid w:val="570D33DF"/>
    <w:rsid w:val="571E7ECD"/>
    <w:rsid w:val="573B423B"/>
    <w:rsid w:val="57A723A1"/>
    <w:rsid w:val="57DF7E2D"/>
    <w:rsid w:val="57E00F16"/>
    <w:rsid w:val="57ED184C"/>
    <w:rsid w:val="58093EE5"/>
    <w:rsid w:val="581B0B64"/>
    <w:rsid w:val="588B41C8"/>
    <w:rsid w:val="58CA32E2"/>
    <w:rsid w:val="58D35D0B"/>
    <w:rsid w:val="58E158AF"/>
    <w:rsid w:val="59002A9B"/>
    <w:rsid w:val="592D018B"/>
    <w:rsid w:val="597908A1"/>
    <w:rsid w:val="59AA3BD8"/>
    <w:rsid w:val="59B83A6B"/>
    <w:rsid w:val="59B91A1F"/>
    <w:rsid w:val="5A056A12"/>
    <w:rsid w:val="5A6A76C2"/>
    <w:rsid w:val="5AED3131"/>
    <w:rsid w:val="5B3E4C84"/>
    <w:rsid w:val="5B665563"/>
    <w:rsid w:val="5B8B2F47"/>
    <w:rsid w:val="5BBF34B1"/>
    <w:rsid w:val="5BC43956"/>
    <w:rsid w:val="5C237623"/>
    <w:rsid w:val="5C841E70"/>
    <w:rsid w:val="5C9022AC"/>
    <w:rsid w:val="5CB83860"/>
    <w:rsid w:val="5CC94C19"/>
    <w:rsid w:val="5CCB56AA"/>
    <w:rsid w:val="5CD97003"/>
    <w:rsid w:val="5CDE75D4"/>
    <w:rsid w:val="5CE662D2"/>
    <w:rsid w:val="5D43679C"/>
    <w:rsid w:val="5D80184B"/>
    <w:rsid w:val="5D8A38F0"/>
    <w:rsid w:val="5D8D66BC"/>
    <w:rsid w:val="5D996B15"/>
    <w:rsid w:val="5DBA12C4"/>
    <w:rsid w:val="5DCF0112"/>
    <w:rsid w:val="5DF5021A"/>
    <w:rsid w:val="5E456EC8"/>
    <w:rsid w:val="5E8674C8"/>
    <w:rsid w:val="5EEB6E67"/>
    <w:rsid w:val="5F9A066A"/>
    <w:rsid w:val="5FB222AF"/>
    <w:rsid w:val="5FB55088"/>
    <w:rsid w:val="601A5F60"/>
    <w:rsid w:val="607D5A8D"/>
    <w:rsid w:val="60896B0A"/>
    <w:rsid w:val="60A76A75"/>
    <w:rsid w:val="60AF76D8"/>
    <w:rsid w:val="61274E59"/>
    <w:rsid w:val="6142298B"/>
    <w:rsid w:val="61607FC8"/>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F80578"/>
    <w:rsid w:val="64FC6AC0"/>
    <w:rsid w:val="652B4974"/>
    <w:rsid w:val="6547085B"/>
    <w:rsid w:val="654D6C87"/>
    <w:rsid w:val="656E7C52"/>
    <w:rsid w:val="65941036"/>
    <w:rsid w:val="659E1C40"/>
    <w:rsid w:val="65A57BD1"/>
    <w:rsid w:val="65C20A3D"/>
    <w:rsid w:val="65CB4FB4"/>
    <w:rsid w:val="66212AB1"/>
    <w:rsid w:val="666920D7"/>
    <w:rsid w:val="66786189"/>
    <w:rsid w:val="669663C9"/>
    <w:rsid w:val="672D101A"/>
    <w:rsid w:val="67DC172E"/>
    <w:rsid w:val="67F10937"/>
    <w:rsid w:val="67F40878"/>
    <w:rsid w:val="6850401C"/>
    <w:rsid w:val="68A223E7"/>
    <w:rsid w:val="68D5773D"/>
    <w:rsid w:val="68F77208"/>
    <w:rsid w:val="68F92C59"/>
    <w:rsid w:val="68FE1FA4"/>
    <w:rsid w:val="6909492A"/>
    <w:rsid w:val="694F25A0"/>
    <w:rsid w:val="694F42FD"/>
    <w:rsid w:val="69515575"/>
    <w:rsid w:val="695806EB"/>
    <w:rsid w:val="696F60AD"/>
    <w:rsid w:val="69935748"/>
    <w:rsid w:val="699E676F"/>
    <w:rsid w:val="69A47B44"/>
    <w:rsid w:val="69D9075E"/>
    <w:rsid w:val="69DA541B"/>
    <w:rsid w:val="69F85062"/>
    <w:rsid w:val="69FA5CAA"/>
    <w:rsid w:val="6A356EA0"/>
    <w:rsid w:val="6B1653A3"/>
    <w:rsid w:val="6B1A4490"/>
    <w:rsid w:val="6B4B5552"/>
    <w:rsid w:val="6B5D15E2"/>
    <w:rsid w:val="6B9A16B0"/>
    <w:rsid w:val="6C8350C7"/>
    <w:rsid w:val="6CCA0B17"/>
    <w:rsid w:val="6CCF1FC0"/>
    <w:rsid w:val="6CD45B59"/>
    <w:rsid w:val="6D4E1C4A"/>
    <w:rsid w:val="6DA91DA3"/>
    <w:rsid w:val="6DBB6C45"/>
    <w:rsid w:val="6DBD676D"/>
    <w:rsid w:val="6DD50C2C"/>
    <w:rsid w:val="6E3A4E45"/>
    <w:rsid w:val="6E56579E"/>
    <w:rsid w:val="6E9F2B3A"/>
    <w:rsid w:val="6EE43495"/>
    <w:rsid w:val="6EEC54E0"/>
    <w:rsid w:val="6EFA14C2"/>
    <w:rsid w:val="6F1641C5"/>
    <w:rsid w:val="6F2E4235"/>
    <w:rsid w:val="6F6C2D80"/>
    <w:rsid w:val="6F8B1697"/>
    <w:rsid w:val="6FA91B70"/>
    <w:rsid w:val="6FCF5424"/>
    <w:rsid w:val="6FD90CAD"/>
    <w:rsid w:val="6FE158E0"/>
    <w:rsid w:val="70004737"/>
    <w:rsid w:val="700B0B10"/>
    <w:rsid w:val="701F0719"/>
    <w:rsid w:val="70497EB8"/>
    <w:rsid w:val="70754519"/>
    <w:rsid w:val="708740C7"/>
    <w:rsid w:val="711A1BD8"/>
    <w:rsid w:val="714D64DA"/>
    <w:rsid w:val="71A60683"/>
    <w:rsid w:val="71D602F7"/>
    <w:rsid w:val="721F25E6"/>
    <w:rsid w:val="72225F5B"/>
    <w:rsid w:val="726310A6"/>
    <w:rsid w:val="727B601C"/>
    <w:rsid w:val="735301FE"/>
    <w:rsid w:val="736471BB"/>
    <w:rsid w:val="73D019E7"/>
    <w:rsid w:val="73D62D92"/>
    <w:rsid w:val="73E23AB8"/>
    <w:rsid w:val="742A10F7"/>
    <w:rsid w:val="742A236B"/>
    <w:rsid w:val="74B36942"/>
    <w:rsid w:val="74B84955"/>
    <w:rsid w:val="75181898"/>
    <w:rsid w:val="754629D5"/>
    <w:rsid w:val="758636F3"/>
    <w:rsid w:val="758753A2"/>
    <w:rsid w:val="75B4608A"/>
    <w:rsid w:val="75DF705C"/>
    <w:rsid w:val="75E41F65"/>
    <w:rsid w:val="75EF230F"/>
    <w:rsid w:val="7604566A"/>
    <w:rsid w:val="76047839"/>
    <w:rsid w:val="7619489E"/>
    <w:rsid w:val="76452218"/>
    <w:rsid w:val="76571277"/>
    <w:rsid w:val="766074C4"/>
    <w:rsid w:val="76972DF3"/>
    <w:rsid w:val="76D33CC8"/>
    <w:rsid w:val="77041CF7"/>
    <w:rsid w:val="77042681"/>
    <w:rsid w:val="770B62D8"/>
    <w:rsid w:val="7717431B"/>
    <w:rsid w:val="771F0CBB"/>
    <w:rsid w:val="77D777E8"/>
    <w:rsid w:val="77F829F2"/>
    <w:rsid w:val="782242CF"/>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C1C6D"/>
    <w:rsid w:val="7C3564FE"/>
    <w:rsid w:val="7C5D32E5"/>
    <w:rsid w:val="7C784E84"/>
    <w:rsid w:val="7C892AB5"/>
    <w:rsid w:val="7CC876B0"/>
    <w:rsid w:val="7CFA7FFD"/>
    <w:rsid w:val="7D763AFD"/>
    <w:rsid w:val="7D8652D5"/>
    <w:rsid w:val="7DE95B7F"/>
    <w:rsid w:val="7E191C60"/>
    <w:rsid w:val="7E337833"/>
    <w:rsid w:val="7E452FD4"/>
    <w:rsid w:val="7E461491"/>
    <w:rsid w:val="7E6D4A02"/>
    <w:rsid w:val="7E7F0292"/>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2</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2025-06-30T08:29:24Z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