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pPr>
        <w:pStyle w:val="2"/>
        <w:rPr>
          <w:rFonts w:hint="eastAsia"/>
          <w:color w:val="auto"/>
          <w:highlight w:val="none"/>
        </w:rPr>
      </w:pPr>
    </w:p>
    <w:p>
      <w:pPr>
        <w:pStyle w:val="12"/>
        <w:rPr>
          <w:rFonts w:hint="eastAsia"/>
          <w:color w:val="auto"/>
          <w:highlight w:val="none"/>
        </w:rPr>
      </w:pPr>
    </w:p>
    <w:p>
      <w:pPr>
        <w:pStyle w:val="6"/>
        <w:jc w:val="center"/>
        <w:rPr>
          <w:rFonts w:hint="eastAsia"/>
          <w:color w:val="auto"/>
          <w:sz w:val="21"/>
          <w:szCs w:val="21"/>
          <w:highlight w:val="none"/>
        </w:rPr>
      </w:pPr>
      <w:r>
        <w:rPr>
          <w:rFonts w:hint="eastAsia" w:cs="宋体"/>
          <w:b/>
          <w:bCs/>
          <w:color w:val="auto"/>
          <w:sz w:val="48"/>
          <w:szCs w:val="48"/>
          <w:highlight w:val="none"/>
          <w:u w:val="none"/>
          <w:lang w:val="en-US" w:eastAsia="zh-CN"/>
        </w:rPr>
        <w:t>某项目（新华区1）劳务分包</w:t>
      </w: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hint="eastAsia" w:ascii="宋体" w:hAnsi="宋体" w:cs="宋体"/>
          <w:b/>
          <w:bCs/>
          <w:color w:val="auto"/>
          <w:kern w:val="0"/>
          <w:sz w:val="24"/>
          <w:highlight w:val="none"/>
        </w:rPr>
      </w:pPr>
    </w:p>
    <w:p>
      <w:pPr>
        <w:pStyle w:val="17"/>
        <w:rPr>
          <w:rFonts w:hint="eastAsia" w:ascii="宋体" w:hAnsi="宋体" w:cs="宋体"/>
          <w:b/>
          <w:bCs/>
          <w:color w:val="auto"/>
          <w:kern w:val="0"/>
          <w:sz w:val="24"/>
          <w:highlight w:val="none"/>
        </w:rPr>
      </w:pPr>
    </w:p>
    <w:p>
      <w:pPr>
        <w:spacing w:line="500" w:lineRule="exact"/>
        <w:jc w:val="center"/>
        <w:rPr>
          <w:rFonts w:hint="eastAsia" w:ascii="宋体" w:hAnsi="宋体" w:cs="宋体"/>
          <w:b/>
          <w:bCs/>
          <w:color w:val="auto"/>
          <w:sz w:val="28"/>
          <w:szCs w:val="28"/>
          <w:highlight w:val="none"/>
          <w:lang w:eastAsia="zh-CN"/>
        </w:rPr>
      </w:pPr>
    </w:p>
    <w:p>
      <w:pPr>
        <w:spacing w:line="500" w:lineRule="exact"/>
        <w:jc w:val="center"/>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pPr>
        <w:pStyle w:val="19"/>
        <w:rPr>
          <w:rFonts w:hint="eastAsia"/>
          <w:color w:val="auto"/>
          <w:highlight w:val="none"/>
        </w:rPr>
      </w:pPr>
    </w:p>
    <w:p>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pPr>
        <w:pStyle w:val="6"/>
        <w:rPr>
          <w:rFonts w:hint="eastAsia" w:cs="宋体"/>
          <w:color w:val="auto"/>
          <w:sz w:val="44"/>
          <w:szCs w:val="44"/>
          <w:highlight w:val="none"/>
        </w:rPr>
      </w:pP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rPr>
          <w:color w:val="auto"/>
          <w:highlight w:val="none"/>
        </w:rPr>
      </w:pPr>
    </w:p>
    <w:p>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某项目（新华区1）劳务分包公开比选采购公告</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某项目（新华区1）劳务分包</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采购范围：</w:t>
      </w:r>
      <w:r>
        <w:rPr>
          <w:rFonts w:hint="eastAsia" w:ascii="宋体" w:hAnsi="宋体" w:cs="宋体"/>
          <w:b w:val="0"/>
          <w:bCs w:val="0"/>
          <w:color w:val="auto"/>
          <w:sz w:val="24"/>
          <w:highlight w:val="none"/>
          <w:lang w:eastAsia="zh-CN"/>
        </w:rPr>
        <w:t>某项目（新华区1）</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r>
        <w:rPr>
          <w:rFonts w:hint="eastAsia" w:ascii="宋体" w:hAnsi="宋体" w:cs="宋体"/>
          <w:color w:val="auto"/>
          <w:sz w:val="24"/>
          <w:highlight w:val="none"/>
          <w:lang w:val="en-US" w:eastAsia="zh-CN"/>
        </w:rPr>
        <w:t xml:space="preserve">通知开工之日起至2025年11月05日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2"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2"/>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3"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3"/>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4"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4"/>
      <w:r>
        <w:rPr>
          <w:rFonts w:hint="eastAsia" w:ascii="宋体" w:hAnsi="宋体" w:eastAsia="宋体" w:cs="宋体"/>
          <w:i w:val="0"/>
          <w:iCs w:val="0"/>
          <w:caps w:val="0"/>
          <w:color w:val="auto"/>
          <w:spacing w:val="0"/>
          <w:sz w:val="24"/>
          <w:szCs w:val="24"/>
          <w:highlight w:val="none"/>
          <w:shd w:val="clear" w:fill="FFFFFF"/>
          <w:lang w:val="en-US" w:eastAsia="zh-CN"/>
        </w:rPr>
        <w:t>查询）；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如确认参加此次比选，需在2025年09月11日11时前将确认参加比选回执函（详见附件）发送到邮箱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w:t>
      </w:r>
      <w:r>
        <w:rPr>
          <w:rFonts w:hint="eastAsia" w:ascii="宋体" w:hAnsi="宋体" w:eastAsia="宋体" w:cs="宋体"/>
          <w:b/>
          <w:bCs/>
          <w:color w:val="auto"/>
          <w:sz w:val="24"/>
          <w:szCs w:val="24"/>
          <w:highlight w:val="none"/>
          <w:lang w:val="en-US" w:eastAsia="zh-CN"/>
        </w:rPr>
        <w:t>定时间内回执的供应商响应文件我方将不予以收取。</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2"/>
        <w:ind w:firstLine="480"/>
        <w:rPr>
          <w:rFonts w:hint="default"/>
          <w:color w:val="auto"/>
          <w:highlight w:val="none"/>
          <w:lang w:val="en-US"/>
        </w:rPr>
      </w:pPr>
      <w:bookmarkStart w:id="5" w:name="_Toc26879"/>
    </w:p>
    <w:p>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pPr>
        <w:pStyle w:val="6"/>
        <w:bidi w:val="0"/>
        <w:jc w:val="center"/>
        <w:rPr>
          <w:rFonts w:hint="eastAsia" w:ascii="宋体" w:hAnsi="宋体" w:cs="宋体"/>
          <w:b/>
          <w:bCs/>
          <w:color w:val="auto"/>
          <w:sz w:val="36"/>
          <w:szCs w:val="36"/>
          <w:highlight w:val="none"/>
          <w:lang w:val="en-US" w:eastAsia="zh-CN"/>
        </w:rPr>
      </w:pPr>
    </w:p>
    <w:p>
      <w:pPr>
        <w:pStyle w:val="6"/>
        <w:bidi w:val="0"/>
        <w:jc w:val="center"/>
        <w:rPr>
          <w:rFonts w:hint="eastAsia" w:ascii="宋体" w:hAnsi="宋体" w:cs="宋体"/>
          <w:b/>
          <w:bCs/>
          <w:color w:val="auto"/>
          <w:sz w:val="36"/>
          <w:szCs w:val="36"/>
          <w:highlight w:val="none"/>
          <w:lang w:val="en-US" w:eastAsia="zh-CN"/>
        </w:rPr>
      </w:pPr>
      <w:bookmarkStart w:id="6" w:name="_Toc25146"/>
      <w:r>
        <w:rPr>
          <w:rFonts w:hint="eastAsia" w:ascii="宋体" w:hAnsi="宋体" w:cs="宋体"/>
          <w:b/>
          <w:bCs/>
          <w:color w:val="auto"/>
          <w:sz w:val="36"/>
          <w:szCs w:val="36"/>
          <w:highlight w:val="none"/>
          <w:lang w:val="en-US" w:eastAsia="zh-CN"/>
        </w:rPr>
        <w:t>确认参加比选回执函</w:t>
      </w:r>
      <w:bookmarkEnd w:id="6"/>
    </w:p>
    <w:p>
      <w:pPr>
        <w:rPr>
          <w:rFonts w:hint="eastAsia"/>
          <w:color w:val="auto"/>
          <w:highlight w:val="none"/>
        </w:rPr>
      </w:pPr>
    </w:p>
    <w:p>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7" w:name="_Toc28397"/>
      <w:r>
        <w:rPr>
          <w:rFonts w:hint="eastAsia" w:ascii="宋体" w:hAnsi="宋体" w:eastAsia="宋体" w:cs="宋体"/>
          <w:color w:val="auto"/>
          <w:sz w:val="28"/>
          <w:szCs w:val="28"/>
          <w:highlight w:val="none"/>
          <w:lang w:eastAsia="zh-CN"/>
        </w:rPr>
        <w:t>石家庄承宏工程建设有限公司：</w:t>
      </w:r>
      <w:bookmarkEnd w:id="7"/>
    </w:p>
    <w:p>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single"/>
          <w:lang w:val="en-US" w:eastAsia="zh-CN"/>
        </w:rPr>
        <w:t>某项目（新华区1）劳务分包</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rPr>
          <w:rFonts w:hint="eastAsia"/>
          <w:color w:val="auto"/>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rPr>
          <w:rFonts w:hint="eastAsia"/>
          <w:color w:val="auto"/>
          <w:highlight w:val="none"/>
        </w:rPr>
      </w:pPr>
    </w:p>
    <w:p>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pPr>
        <w:pStyle w:val="12"/>
        <w:pageBreakBefore w:val="0"/>
        <w:kinsoku/>
        <w:wordWrap/>
        <w:overflowPunct/>
        <w:autoSpaceDE/>
        <w:autoSpaceDN/>
        <w:bidi w:val="0"/>
        <w:spacing w:line="560" w:lineRule="exact"/>
        <w:textAlignment w:val="auto"/>
        <w:rPr>
          <w:color w:val="auto"/>
          <w:highlight w:val="none"/>
        </w:rPr>
      </w:pPr>
    </w:p>
    <w:p>
      <w:pPr>
        <w:pStyle w:val="12"/>
        <w:ind w:firstLine="480"/>
        <w:rPr>
          <w:rFonts w:hint="default"/>
          <w:color w:val="auto"/>
          <w:highlight w:val="none"/>
          <w:lang w:val="en-US"/>
        </w:rPr>
      </w:pPr>
    </w:p>
    <w:p>
      <w:pPr>
        <w:rPr>
          <w:rFonts w:hint="default"/>
          <w:color w:val="auto"/>
          <w:highlight w:val="none"/>
          <w:lang w:val="en-US"/>
        </w:rPr>
      </w:pPr>
    </w:p>
    <w:p>
      <w:pPr>
        <w:rPr>
          <w:rFonts w:hint="default"/>
          <w:color w:val="auto"/>
          <w:highlight w:val="none"/>
          <w:lang w:val="en-US"/>
        </w:rPr>
      </w:pPr>
    </w:p>
    <w:p>
      <w:pPr>
        <w:rPr>
          <w:rFonts w:hint="default" w:eastAsia="宋体"/>
          <w:color w:val="auto"/>
          <w:highlight w:val="none"/>
          <w:lang w:val="en-US" w:eastAsia="zh-CN"/>
        </w:rPr>
      </w:pPr>
      <w:r>
        <w:rPr>
          <w:rFonts w:hint="eastAsia"/>
          <w:color w:val="auto"/>
          <w:highlight w:val="none"/>
          <w:lang w:val="en-US" w:eastAsia="zh-CN"/>
        </w:rPr>
        <w:t xml:space="preserve">                                      </w:t>
      </w:r>
    </w:p>
    <w:p>
      <w:pPr>
        <w:pStyle w:val="6"/>
        <w:bidi w:val="0"/>
        <w:jc w:val="center"/>
        <w:rPr>
          <w:rFonts w:hint="eastAsia"/>
          <w:color w:val="auto"/>
          <w:sz w:val="36"/>
          <w:szCs w:val="36"/>
          <w:highlight w:val="none"/>
        </w:rPr>
      </w:pPr>
      <w:bookmarkStart w:id="8"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5"/>
      <w:bookmarkEnd w:id="8"/>
      <w:bookmarkStart w:id="9" w:name="_Toc17889"/>
    </w:p>
    <w:bookmarkEnd w:id="9"/>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0" w:name="_Toc29085"/>
      <w:bookmarkStart w:id="11" w:name="_Toc2285"/>
      <w:r>
        <w:rPr>
          <w:rFonts w:hint="eastAsia" w:ascii="宋体" w:hAnsi="宋体" w:cs="宋体"/>
          <w:b/>
          <w:bCs/>
          <w:color w:val="auto"/>
          <w:sz w:val="24"/>
          <w:highlight w:val="none"/>
          <w:lang w:val="en-US" w:eastAsia="zh-CN"/>
        </w:rPr>
        <w:t>1.对供应商的资格要求</w:t>
      </w:r>
      <w:bookmarkEnd w:id="10"/>
      <w:bookmarkEnd w:id="11"/>
    </w:p>
    <w:p>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497"/>
        <w:gridCol w:w="1707"/>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b/>
                <w:bCs/>
                <w:color w:val="auto"/>
                <w:sz w:val="24"/>
                <w:szCs w:val="24"/>
                <w:highlight w:val="none"/>
                <w:lang w:val="en-US" w:eastAsia="zh-CN"/>
              </w:rPr>
            </w:pPr>
            <w:r>
              <w:rPr>
                <w:rFonts w:hint="eastAsia"/>
                <w:b/>
                <w:bCs/>
                <w:color w:val="auto"/>
                <w:sz w:val="24"/>
                <w:szCs w:val="24"/>
                <w:highlight w:val="none"/>
                <w:lang w:val="en-US" w:eastAsia="zh-CN"/>
              </w:rPr>
              <w:t>限价均不含税。各单位总报价不得超总限价，其中各站报价不得超各站限价。</w:t>
            </w:r>
          </w:p>
          <w:p>
            <w:pPr>
              <w:widowControl/>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总限价：3483787.04</w:t>
            </w:r>
            <w:r>
              <w:rPr>
                <w:rFonts w:hint="eastAsia" w:asciiTheme="minorEastAsia" w:hAnsiTheme="minorEastAsia" w:eastAsiaTheme="minorEastAsia" w:cstheme="minorEastAsia"/>
                <w:color w:val="auto"/>
                <w:sz w:val="24"/>
                <w:szCs w:val="24"/>
                <w:highlight w:val="none"/>
              </w:rPr>
              <w:t>元</w:t>
            </w:r>
          </w:p>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其中：</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嘉宇枫尚换热站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121809.67</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秀河小区换热站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1105867.23</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秀玉小区换热站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220100.97</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康馨花苑换热站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150125.04</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于底换热站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476866.94</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水域南岸换热站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689295.49</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石瓷小区换热站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36981.46</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康庄小区换热站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260215.11</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第六干休所换热站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219837.06</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 xml:space="preserve"> </w:t>
            </w:r>
          </w:p>
          <w:p>
            <w:pPr>
              <w:rPr>
                <w:rFonts w:hint="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铁路55宿舍换热站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202688.07</w:t>
            </w:r>
            <w:r>
              <w:rPr>
                <w:rFonts w:hint="eastAsia" w:asciiTheme="minorEastAsia" w:hAnsiTheme="minorEastAsia" w:eastAsiaTheme="minorEastAsia" w:cstheme="minorEastAsia"/>
                <w:color w:val="auto"/>
                <w:sz w:val="24"/>
                <w:szCs w:val="24"/>
                <w:highlight w:val="none"/>
                <w:lang w:val="en-US" w:eastAsia="zh-CN"/>
              </w:rPr>
              <w:t>元</w:t>
            </w:r>
            <w:r>
              <w:rPr>
                <w:rFonts w:hint="eastAsia"/>
                <w:color w:val="auto"/>
                <w:sz w:val="24"/>
                <w:szCs w:val="24"/>
                <w:highlight w:val="none"/>
              </w:rPr>
              <w:t xml:space="preserve"> </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70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extAlignment w:val="top"/>
              <w:rPr>
                <w:color w:val="auto"/>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包括总限价和分项限价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2"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pPr>
        <w:rPr>
          <w:rFonts w:hint="eastAsia"/>
          <w:color w:val="auto"/>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numPr>
          <w:ilvl w:val="0"/>
          <w:numId w:val="2"/>
        </w:numPr>
        <w:bidi w:val="0"/>
        <w:jc w:val="center"/>
        <w:rPr>
          <w:rFonts w:hint="eastAsia"/>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4"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p>
          <w:p>
            <w:pPr>
              <w:rPr>
                <w:rFonts w:hint="eastAsia"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val="en-US" w:eastAsia="zh-CN"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4"/>
    </w:tbl>
    <w:p>
      <w:pPr>
        <w:numPr>
          <w:ilvl w:val="0"/>
          <w:numId w:val="0"/>
        </w:num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bidi w:val="0"/>
        <w:jc w:val="center"/>
        <w:rPr>
          <w:rFonts w:hint="eastAsia"/>
          <w:color w:val="auto"/>
          <w:sz w:val="36"/>
          <w:szCs w:val="36"/>
          <w:highlight w:val="none"/>
        </w:rPr>
      </w:pPr>
      <w:bookmarkStart w:id="15"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5"/>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r>
              <w:rPr>
                <w:rFonts w:hint="eastAsia" w:ascii="宋体" w:hAnsi="宋体" w:cs="宋体"/>
                <w:color w:val="auto"/>
                <w:kern w:val="0"/>
                <w:sz w:val="21"/>
                <w:szCs w:val="21"/>
                <w:highlight w:val="none"/>
                <w:lang w:val="en-US" w:eastAsia="zh-CN" w:bidi="ar"/>
              </w:rPr>
              <w:t>及签字盖章</w:t>
            </w:r>
          </w:p>
        </w:tc>
        <w:tc>
          <w:tcPr>
            <w:tcW w:w="4598" w:type="dxa"/>
            <w:tcBorders>
              <w:top w:val="single" w:color="auto" w:sz="4" w:space="0"/>
              <w:left w:val="single" w:color="000000" w:sz="8" w:space="0"/>
              <w:bottom w:val="single" w:color="auto" w:sz="4" w:space="0"/>
              <w:right w:val="single" w:color="000000" w:sz="8"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不含税报价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08</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pPr>
        <w:pStyle w:val="12"/>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highlight w:val="none"/>
        </w:rPr>
      </w:pPr>
    </w:p>
    <w:p>
      <w:pPr>
        <w:rPr>
          <w:rFonts w:hint="eastAsia"/>
          <w:color w:val="auto"/>
          <w:sz w:val="36"/>
          <w:szCs w:val="36"/>
          <w:highlight w:val="none"/>
        </w:rPr>
      </w:pPr>
    </w:p>
    <w:p>
      <w:pPr>
        <w:pStyle w:val="12"/>
        <w:rPr>
          <w:rFonts w:hint="eastAsia"/>
          <w:color w:val="auto"/>
          <w:highlight w:val="none"/>
        </w:rPr>
      </w:pPr>
    </w:p>
    <w:p>
      <w:pPr>
        <w:pStyle w:val="6"/>
        <w:bidi w:val="0"/>
        <w:jc w:val="center"/>
        <w:rPr>
          <w:rFonts w:hint="eastAsia"/>
          <w:color w:val="auto"/>
          <w:sz w:val="36"/>
          <w:szCs w:val="36"/>
          <w:highlight w:val="none"/>
        </w:rPr>
      </w:pPr>
      <w:bookmarkStart w:id="16"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6"/>
    </w:p>
    <w:p>
      <w:pPr>
        <w:rPr>
          <w:rFonts w:hint="eastAsia"/>
          <w:color w:val="auto"/>
          <w:sz w:val="24"/>
          <w:szCs w:val="32"/>
          <w:highlight w:val="none"/>
        </w:rPr>
      </w:pPr>
    </w:p>
    <w:p>
      <w:pPr>
        <w:widowControl/>
        <w:autoSpaceDE w:val="0"/>
        <w:autoSpaceDN w:val="0"/>
        <w:adjustRightInd w:val="0"/>
        <w:spacing w:line="360" w:lineRule="auto"/>
        <w:jc w:val="right"/>
        <w:rPr>
          <w:rFonts w:ascii="宋体" w:hAnsi="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某项目（新华区1）劳务分包</w:t>
      </w:r>
    </w:p>
    <w:p>
      <w:pPr>
        <w:rPr>
          <w:b/>
          <w:bCs/>
          <w:color w:val="auto"/>
          <w:sz w:val="72"/>
          <w:szCs w:val="72"/>
          <w:highlight w:val="none"/>
        </w:rPr>
      </w:pPr>
    </w:p>
    <w:p>
      <w:pPr>
        <w:pStyle w:val="12"/>
        <w:rPr>
          <w:b/>
          <w:bCs/>
          <w:color w:val="auto"/>
          <w:sz w:val="72"/>
          <w:szCs w:val="72"/>
          <w:highlight w:val="none"/>
        </w:rPr>
      </w:pPr>
    </w:p>
    <w:p>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2"/>
        <w:rPr>
          <w:color w:val="auto"/>
          <w:highlight w:val="none"/>
        </w:rPr>
      </w:pPr>
    </w:p>
    <w:p>
      <w:pPr>
        <w:rPr>
          <w:color w:val="auto"/>
          <w:highlight w:val="none"/>
        </w:rPr>
      </w:pPr>
    </w:p>
    <w:p>
      <w:pPr>
        <w:pStyle w:val="12"/>
        <w:rPr>
          <w:color w:val="auto"/>
          <w:highlight w:val="none"/>
        </w:rPr>
      </w:pPr>
    </w:p>
    <w:p>
      <w:pPr>
        <w:pStyle w:val="12"/>
        <w:rPr>
          <w:color w:val="auto"/>
          <w:highlight w:val="none"/>
        </w:rPr>
      </w:pPr>
    </w:p>
    <w:p>
      <w:pPr>
        <w:rPr>
          <w:color w:val="auto"/>
          <w:highlight w:val="none"/>
        </w:rPr>
      </w:pPr>
    </w:p>
    <w:p>
      <w:pPr>
        <w:pStyle w:val="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rFonts w:hint="eastAsia"/>
          <w:b/>
          <w:bCs/>
          <w:color w:val="auto"/>
          <w:sz w:val="36"/>
          <w:szCs w:val="36"/>
          <w:highlight w:val="none"/>
        </w:rPr>
      </w:pPr>
    </w:p>
    <w:p>
      <w:pPr>
        <w:rPr>
          <w:rFonts w:hint="eastAsia"/>
          <w:color w:val="auto"/>
          <w:highlight w:val="none"/>
        </w:rPr>
      </w:pP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keepNext w:val="0"/>
        <w:keepLines w:val="0"/>
        <w:pageBreakBefore w:val="0"/>
        <w:widowControl/>
        <w:kinsoku/>
        <w:wordWrap/>
        <w:overflowPunct/>
        <w:topLinePunct w:val="0"/>
        <w:bidi w:val="0"/>
        <w:snapToGrid/>
        <w:spacing w:before="100" w:beforeAutospacing="1" w:after="100" w:afterAutospacing="1" w:line="420" w:lineRule="exact"/>
        <w:jc w:val="center"/>
        <w:textAlignment w:val="auto"/>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pPr>
        <w:keepNext w:val="0"/>
        <w:keepLines w:val="0"/>
        <w:pageBreakBefore w:val="0"/>
        <w:widowControl/>
        <w:kinsoku/>
        <w:wordWrap/>
        <w:overflowPunct/>
        <w:topLinePunct w:val="0"/>
        <w:autoSpaceDE w:val="0"/>
        <w:autoSpaceDN w:val="0"/>
        <w:bidi w:val="0"/>
        <w:adjustRightInd w:val="0"/>
        <w:snapToGrid/>
        <w:spacing w:line="46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p>
    <w:p>
      <w:pPr>
        <w:keepNext w:val="0"/>
        <w:keepLines w:val="0"/>
        <w:pageBreakBefore w:val="0"/>
        <w:widowControl/>
        <w:kinsoku/>
        <w:wordWrap/>
        <w:overflowPunct/>
        <w:topLinePunct w:val="0"/>
        <w:autoSpaceDE w:val="0"/>
        <w:autoSpaceDN w:val="0"/>
        <w:bidi w:val="0"/>
        <w:adjustRightInd w:val="0"/>
        <w:spacing w:line="46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某项目（新华区1）劳务分包</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某项目（新华区1）劳务分包</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460" w:lineRule="exact"/>
        <w:ind w:right="28" w:firstLine="631" w:firstLineChars="262"/>
        <w:jc w:val="left"/>
        <w:textAlignment w:val="auto"/>
        <w:rPr>
          <w:rFonts w:hint="eastAsia" w:ascii="宋体" w:hAnsi="宋体"/>
          <w:color w:val="auto"/>
          <w:kern w:val="0"/>
          <w:sz w:val="24"/>
          <w:highlight w:val="none"/>
          <w:lang w:val="en-US" w:eastAsia="zh-CN"/>
        </w:rPr>
      </w:pPr>
      <w:r>
        <w:rPr>
          <w:rFonts w:hint="eastAsia" w:ascii="宋体" w:hAnsi="宋体"/>
          <w:b/>
          <w:bCs/>
          <w:color w:val="auto"/>
          <w:kern w:val="0"/>
          <w:sz w:val="24"/>
          <w:highlight w:val="none"/>
          <w:lang w:val="en-US" w:eastAsia="zh-CN"/>
        </w:rPr>
        <w:t>投标报价为不含税报价。</w:t>
      </w: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r>
        <w:rPr>
          <w:rFonts w:hint="eastAsia" w:ascii="宋体" w:hAnsi="宋体"/>
          <w:color w:val="auto"/>
          <w:kern w:val="0"/>
          <w:sz w:val="24"/>
          <w:highlight w:val="none"/>
          <w:lang w:val="en-US" w:eastAsia="zh-CN"/>
        </w:rPr>
        <w:t>其中各站报价如下：</w:t>
      </w:r>
    </w:p>
    <w:tbl>
      <w:tblPr>
        <w:tblStyle w:val="22"/>
        <w:tblW w:w="8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194"/>
        <w:gridCol w:w="2638"/>
        <w:gridCol w:w="2832"/>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行政区域</w:t>
            </w:r>
          </w:p>
        </w:tc>
        <w:tc>
          <w:tcPr>
            <w:tcW w:w="2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换热站名称</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不含税报价（元）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9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新华区1</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嘉宇枫尚换热站</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9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秀河小区换热站</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9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秀玉小区换热站</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bookmarkStart w:id="85" w:name="_GoBack"/>
            <w:bookmarkEnd w:id="85"/>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9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康馨花苑换热站</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9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于底换热站</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9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水域南岸换热站</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sz w:val="20"/>
                <w:szCs w:val="20"/>
                <w:highlight w:val="none"/>
                <w:u w:val="none"/>
                <w:lang w:val="en-US" w:eastAsia="zh-CN"/>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w:t>
            </w:r>
          </w:p>
        </w:tc>
        <w:tc>
          <w:tcPr>
            <w:tcW w:w="119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石瓷小区换热站</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8</w:t>
            </w:r>
          </w:p>
        </w:tc>
        <w:tc>
          <w:tcPr>
            <w:tcW w:w="119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康庄小区换热站</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9</w:t>
            </w:r>
          </w:p>
        </w:tc>
        <w:tc>
          <w:tcPr>
            <w:tcW w:w="119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第六干休所换热站</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10</w:t>
            </w:r>
          </w:p>
        </w:tc>
        <w:tc>
          <w:tcPr>
            <w:tcW w:w="1194"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铁路55宿舍换热站</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exac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3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合计（元）</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keepNext w:val="0"/>
        <w:keepLines w:val="0"/>
        <w:pageBreakBefore w:val="0"/>
        <w:widowControl/>
        <w:kinsoku/>
        <w:wordWrap/>
        <w:overflowPunct/>
        <w:topLinePunct w:val="0"/>
        <w:autoSpaceDE/>
        <w:autoSpaceDN/>
        <w:bidi w:val="0"/>
        <w:adjustRightInd w:val="0"/>
        <w:snapToGrid w:val="0"/>
        <w:spacing w:line="460" w:lineRule="exact"/>
        <w:ind w:right="28" w:firstLine="628" w:firstLineChars="262"/>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pPr>
        <w:keepNext w:val="0"/>
        <w:keepLines w:val="0"/>
        <w:pageBreakBefore w:val="0"/>
        <w:widowControl/>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pPr>
        <w:keepNext w:val="0"/>
        <w:keepLines w:val="0"/>
        <w:pageBreakBefore w:val="0"/>
        <w:kinsoku/>
        <w:wordWrap/>
        <w:overflowPunct/>
        <w:topLinePunct/>
        <w:autoSpaceDE/>
        <w:autoSpaceDN/>
        <w:bidi w:val="0"/>
        <w:spacing w:line="600" w:lineRule="exact"/>
        <w:ind w:right="-307" w:rightChars="-146" w:firstLine="3360" w:firstLineChars="1400"/>
        <w:textAlignment w:val="auto"/>
        <w:rPr>
          <w:rFonts w:asciiTheme="minorEastAsia" w:hAnsiTheme="minorEastAsia" w:cstheme="minorEastAsia"/>
          <w:color w:val="auto"/>
          <w:sz w:val="24"/>
          <w:highlight w:val="none"/>
        </w:rPr>
      </w:pPr>
      <w:r>
        <w:rPr>
          <w:rFonts w:hint="eastAsia" w:ascii="宋体" w:hAnsi="宋体"/>
          <w:color w:val="auto"/>
          <w:kern w:val="0"/>
          <w:sz w:val="24"/>
          <w:highlight w:val="none"/>
          <w:lang w:val="en-US" w:eastAsia="zh-CN"/>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keepNext w:val="0"/>
        <w:keepLines w:val="0"/>
        <w:pageBreakBefore w:val="0"/>
        <w:widowControl/>
        <w:kinsoku/>
        <w:wordWrap/>
        <w:overflowPunct/>
        <w:autoSpaceDE/>
        <w:autoSpaceDN/>
        <w:bidi w:val="0"/>
        <w:adjustRightInd w:val="0"/>
        <w:snapToGrid w:val="0"/>
        <w:spacing w:line="50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keepNext w:val="0"/>
        <w:keepLines w:val="0"/>
        <w:pageBreakBefore w:val="0"/>
        <w:widowControl/>
        <w:kinsoku/>
        <w:wordWrap/>
        <w:overflowPunct/>
        <w:autoSpaceDE/>
        <w:autoSpaceDN/>
        <w:bidi w:val="0"/>
        <w:adjustRightInd w:val="0"/>
        <w:snapToGrid w:val="0"/>
        <w:spacing w:line="500" w:lineRule="exact"/>
        <w:textAlignment w:val="auto"/>
        <w:rPr>
          <w:color w:val="auto"/>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17" w:name="_Toc1445"/>
      <w:bookmarkStart w:id="18" w:name="_Toc7387"/>
      <w:bookmarkStart w:id="19" w:name="_Toc21847"/>
      <w:bookmarkStart w:id="20" w:name="_Toc10115"/>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7"/>
      <w:bookmarkEnd w:id="18"/>
      <w:bookmarkEnd w:id="19"/>
      <w:bookmarkEnd w:id="2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1" w:name="_Toc21198"/>
      <w:bookmarkStart w:id="22" w:name="_Toc2164"/>
      <w:bookmarkStart w:id="23" w:name="_Toc8962"/>
      <w:bookmarkStart w:id="24" w:name="_Toc30767"/>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1"/>
      <w:bookmarkEnd w:id="22"/>
      <w:bookmarkEnd w:id="23"/>
      <w:bookmarkEnd w:id="2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5" w:name="_Toc21741"/>
      <w:bookmarkStart w:id="26" w:name="_Toc13546"/>
      <w:bookmarkStart w:id="27" w:name="_Toc13359"/>
      <w:bookmarkStart w:id="28" w:name="_Toc19454"/>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5"/>
      <w:bookmarkEnd w:id="26"/>
      <w:bookmarkEnd w:id="27"/>
      <w:bookmarkEnd w:id="2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9" w:name="_Toc21480"/>
      <w:bookmarkStart w:id="30" w:name="_Toc21491"/>
      <w:bookmarkStart w:id="31" w:name="_Toc14486"/>
      <w:bookmarkStart w:id="32" w:name="_Toc4606"/>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29"/>
      <w:bookmarkEnd w:id="30"/>
      <w:bookmarkEnd w:id="31"/>
      <w:bookmarkEnd w:id="3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3" w:name="_Toc29609"/>
      <w:bookmarkStart w:id="34" w:name="_Toc676"/>
      <w:bookmarkStart w:id="35" w:name="_Toc3450"/>
      <w:bookmarkStart w:id="36" w:name="_Toc149"/>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3"/>
      <w:bookmarkEnd w:id="34"/>
      <w:bookmarkEnd w:id="35"/>
      <w:bookmarkEnd w:id="36"/>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7" w:name="_Toc5118"/>
      <w:bookmarkStart w:id="38" w:name="_Toc20831"/>
      <w:r>
        <w:rPr>
          <w:rFonts w:hint="eastAsia" w:ascii="宋体" w:hAnsi="宋体" w:eastAsia="宋体" w:cs="Times New Roman"/>
          <w:b/>
          <w:bCs w:val="0"/>
          <w:color w:val="auto"/>
          <w:kern w:val="0"/>
          <w:sz w:val="32"/>
          <w:szCs w:val="32"/>
          <w:highlight w:val="none"/>
          <w:lang w:val="en-US" w:eastAsia="zh-CN" w:bidi="ar"/>
        </w:rPr>
        <w:t>1.法定代表人身份证明</w:t>
      </w:r>
      <w:bookmarkEnd w:id="37"/>
      <w:bookmarkEnd w:id="38"/>
    </w:p>
    <w:p>
      <w:pPr>
        <w:rPr>
          <w:rFonts w:ascii="宋体" w:hAnsi="宋体" w:eastAsia="宋体" w:cs="宋体"/>
          <w:color w:val="auto"/>
          <w:highlight w:val="none"/>
        </w:rPr>
      </w:pPr>
    </w:p>
    <w:p>
      <w:pPr>
        <w:rPr>
          <w:rFonts w:ascii="宋体" w:hAnsi="宋体" w:eastAsia="宋体" w:cs="宋体"/>
          <w:color w:val="auto"/>
          <w:highlight w:val="none"/>
        </w:rPr>
      </w:pP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39" w:name="_Toc369531698"/>
      <w:bookmarkStart w:id="40" w:name="_Toc352691662"/>
      <w:bookmarkStart w:id="41" w:name="_Toc27897"/>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39"/>
      <w:bookmarkEnd w:id="40"/>
      <w:bookmarkEnd w:id="41"/>
      <w:r>
        <w:rPr>
          <w:rFonts w:hint="eastAsia" w:ascii="宋体" w:hAnsi="宋体" w:eastAsia="宋体" w:cs="宋体"/>
          <w:bCs/>
          <w:color w:val="auto"/>
          <w:sz w:val="24"/>
          <w:highlight w:val="none"/>
        </w:rPr>
        <w:t>龄</w:t>
      </w:r>
      <w:bookmarkStart w:id="42" w:name="_Toc152042578"/>
      <w:bookmarkStart w:id="43" w:name="_Toc144974858"/>
      <w:bookmarkStart w:id="44" w:name="_Toc247527829"/>
      <w:bookmarkStart w:id="45" w:name="_Toc300835211"/>
      <w:bookmarkStart w:id="46" w:name="_Toc352691663"/>
      <w:bookmarkStart w:id="47" w:name="_Toc15573"/>
      <w:bookmarkStart w:id="48" w:name="_Toc369531699"/>
      <w:bookmarkStart w:id="49" w:name="_Toc152045789"/>
      <w:bookmarkStart w:id="50" w:name="_Toc247514248"/>
      <w:bookmarkStart w:id="51" w:name="_Toc361508754"/>
      <w:bookmarkStart w:id="52" w:name="_Toc384308377"/>
      <w:r>
        <w:rPr>
          <w:rFonts w:hint="eastAsia" w:ascii="宋体" w:hAnsi="宋体" w:eastAsia="宋体" w:cs="宋体"/>
          <w:bCs/>
          <w:color w:val="auto"/>
          <w:sz w:val="24"/>
          <w:highlight w:val="none"/>
        </w:rPr>
        <w:t>：</w:t>
      </w:r>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ascii="宋体" w:hAnsi="宋体" w:eastAsia="宋体" w:cs="宋体"/>
          <w:bCs/>
          <w:color w:val="auto"/>
          <w:sz w:val="24"/>
          <w:highlight w:val="none"/>
        </w:rPr>
      </w:pP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ascii="宋体" w:hAnsi="宋体" w:eastAsia="宋体" w:cs="宋体"/>
          <w:bCs/>
          <w:color w:val="auto"/>
          <w:sz w:val="24"/>
          <w:highlight w:val="none"/>
        </w:rPr>
      </w:pPr>
    </w:p>
    <w:p>
      <w:pPr>
        <w:pStyle w:val="12"/>
        <w:spacing w:line="600" w:lineRule="exact"/>
        <w:ind w:firstLine="360" w:firstLineChars="150"/>
        <w:rPr>
          <w:rFonts w:ascii="宋体" w:hAnsi="宋体" w:eastAsia="宋体" w:cs="宋体"/>
          <w:bCs/>
          <w:color w:val="auto"/>
          <w:sz w:val="24"/>
          <w:highlight w:val="none"/>
        </w:rPr>
      </w:pPr>
    </w:p>
    <w:p>
      <w:pPr>
        <w:rPr>
          <w:color w:val="auto"/>
          <w:sz w:val="24"/>
          <w:highlight w:val="none"/>
        </w:rPr>
      </w:pPr>
    </w:p>
    <w:p>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ascii="宋体" w:hAnsi="宋体" w:eastAsia="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eastAsia="宋体" w:cs="宋体"/>
          <w:color w:val="auto"/>
          <w:sz w:val="28"/>
          <w:szCs w:val="28"/>
          <w:highlight w:val="none"/>
        </w:rPr>
      </w:pPr>
    </w:p>
    <w:p>
      <w:pPr>
        <w:pStyle w:val="12"/>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eastAsia="宋体" w:cs="宋体"/>
          <w:b/>
          <w:bCs/>
          <w:color w:val="auto"/>
          <w:kern w:val="0"/>
          <w:sz w:val="28"/>
          <w:szCs w:val="28"/>
          <w:highlight w:val="none"/>
          <w:lang w:val="zh-CN" w:bidi="ar"/>
        </w:rPr>
      </w:pPr>
      <w:bookmarkStart w:id="53" w:name="_Toc18230"/>
      <w:bookmarkStart w:id="54" w:name="_Toc360630804"/>
      <w:bookmarkStart w:id="55" w:name="_Toc396236625"/>
      <w:bookmarkStart w:id="56" w:name="_Toc2962"/>
      <w:bookmarkStart w:id="57" w:name="_Toc396236151"/>
      <w:bookmarkStart w:id="58" w:name="_Toc13257"/>
      <w:bookmarkStart w:id="59" w:name="_Toc7142"/>
      <w:bookmarkStart w:id="60" w:name="_Toc27295"/>
      <w:bookmarkStart w:id="61" w:name="_Toc16317"/>
      <w:bookmarkStart w:id="62" w:name="_Toc12389"/>
    </w:p>
    <w:p>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3" w:name="_Toc1346"/>
      <w:bookmarkStart w:id="64" w:name="_Toc17265"/>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3"/>
      <w:bookmarkEnd w:id="54"/>
      <w:bookmarkEnd w:id="55"/>
      <w:bookmarkEnd w:id="56"/>
      <w:bookmarkEnd w:id="57"/>
      <w:bookmarkEnd w:id="58"/>
      <w:bookmarkEnd w:id="59"/>
      <w:bookmarkEnd w:id="60"/>
      <w:bookmarkEnd w:id="61"/>
      <w:bookmarkEnd w:id="62"/>
      <w:bookmarkEnd w:id="63"/>
      <w:bookmarkEnd w:id="64"/>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某项目（新华区1）劳务分包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szCs w:val="24"/>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szCs w:val="24"/>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5" w:name="_Toc18023"/>
      <w:bookmarkStart w:id="66" w:name="_Toc5105"/>
      <w:bookmarkStart w:id="67" w:name="_Toc28350"/>
      <w:bookmarkStart w:id="68" w:name="_Toc30751"/>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5"/>
      <w:bookmarkEnd w:id="66"/>
      <w:bookmarkEnd w:id="67"/>
      <w:bookmarkEnd w:id="68"/>
    </w:p>
    <w:p>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9" w:name="_Toc24831"/>
      <w:bookmarkStart w:id="70" w:name="_Toc15030"/>
      <w:bookmarkStart w:id="71" w:name="_Toc26767"/>
      <w:bookmarkStart w:id="72" w:name="_Toc2339"/>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69"/>
      <w:bookmarkEnd w:id="70"/>
      <w:bookmarkEnd w:id="71"/>
      <w:bookmarkEnd w:id="7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08</w:t>
      </w:r>
      <w:r>
        <w:rPr>
          <w:rFonts w:hint="eastAsia" w:ascii="宋体" w:hAnsi="宋体"/>
          <w:color w:val="auto"/>
          <w:highlight w:val="none"/>
        </w:rPr>
        <w:t>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pStyle w:val="12"/>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3" w:name="_Toc8006"/>
      <w:bookmarkStart w:id="74" w:name="_Toc17330"/>
      <w:bookmarkStart w:id="75" w:name="_Toc11194"/>
      <w:bookmarkStart w:id="76" w:name="_Toc3109"/>
      <w:bookmarkStart w:id="77"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3"/>
      <w:bookmarkEnd w:id="74"/>
      <w:bookmarkEnd w:id="75"/>
      <w:bookmarkEnd w:id="76"/>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pPr>
        <w:spacing w:line="380" w:lineRule="exact"/>
        <w:jc w:val="center"/>
        <w:rPr>
          <w:rFonts w:ascii="宋体" w:hAnsi="宋体" w:eastAsia="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某项目（新华区1）劳务分包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eastAsia="宋体"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如因农民工工资发放、处置不力，导致农民工不同形式的上访、闹访、集访等事件发生，由此造成的一切不良后果和损失由我公司(或个人)承担。</w:t>
      </w:r>
    </w:p>
    <w:p>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hint="eastAsia" w:asciiTheme="minorEastAsia" w:hAnsiTheme="minorEastAsia" w:cstheme="minorEastAsia"/>
          <w:color w:val="auto"/>
          <w:kern w:val="0"/>
          <w:sz w:val="24"/>
          <w:highlight w:val="none"/>
          <w:lang w:bidi="ar"/>
        </w:rPr>
      </w:pPr>
    </w:p>
    <w:p>
      <w:pPr>
        <w:rPr>
          <w:color w:val="auto"/>
          <w:highlight w:val="none"/>
        </w:rPr>
      </w:pPr>
    </w:p>
    <w:p>
      <w:pPr>
        <w:pStyle w:val="6"/>
        <w:pageBreakBefore w:val="0"/>
        <w:widowControl w:val="0"/>
        <w:numPr>
          <w:ilvl w:val="0"/>
          <w:numId w:val="3"/>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8" w:name="_Toc19356"/>
      <w:bookmarkStart w:id="79" w:name="_Toc9901"/>
      <w:bookmarkStart w:id="80" w:name="_Toc2867"/>
      <w:bookmarkStart w:id="81" w:name="_Toc23278"/>
      <w:r>
        <w:rPr>
          <w:rFonts w:hint="eastAsia" w:ascii="宋体" w:hAnsi="宋体" w:eastAsia="宋体" w:cs="Times New Roman"/>
          <w:b/>
          <w:bCs w:val="0"/>
          <w:color w:val="auto"/>
          <w:kern w:val="0"/>
          <w:sz w:val="32"/>
          <w:szCs w:val="32"/>
          <w:highlight w:val="none"/>
          <w:lang w:val="en-US" w:eastAsia="zh-CN" w:bidi="ar"/>
        </w:rPr>
        <w:t>劳务清单报价表</w:t>
      </w:r>
      <w:bookmarkEnd w:id="78"/>
      <w:bookmarkEnd w:id="79"/>
      <w:bookmarkEnd w:id="80"/>
      <w:bookmarkEnd w:id="81"/>
    </w:p>
    <w:p>
      <w:pPr>
        <w:widowControl w:val="0"/>
        <w:numPr>
          <w:ilvl w:val="0"/>
          <w:numId w:val="0"/>
        </w:numPr>
        <w:jc w:val="both"/>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sz w:val="24"/>
          <w:szCs w:val="24"/>
          <w:highlight w:val="none"/>
          <w:lang w:val="en-US" w:eastAsia="zh-CN"/>
        </w:rPr>
      </w:pPr>
      <w:r>
        <w:rPr>
          <w:rFonts w:hint="eastAsia" w:ascii="Calibri" w:hAnsi="Calibri" w:cs="Times New Roman"/>
          <w:b/>
          <w:bCs/>
          <w:color w:val="auto"/>
          <w:kern w:val="2"/>
          <w:sz w:val="24"/>
          <w:szCs w:val="24"/>
          <w:highlight w:val="none"/>
          <w:lang w:val="en-US" w:eastAsia="zh-CN" w:bidi="ar-SA"/>
        </w:rPr>
        <w:t>一</w:t>
      </w:r>
      <w:r>
        <w:rPr>
          <w:rFonts w:hint="eastAsia" w:ascii="Calibri" w:hAnsi="Calibri" w:eastAsia="宋体" w:cs="Times New Roman"/>
          <w:b/>
          <w:bCs/>
          <w:color w:val="auto"/>
          <w:kern w:val="2"/>
          <w:sz w:val="24"/>
          <w:szCs w:val="24"/>
          <w:highlight w:val="none"/>
          <w:lang w:val="en-US" w:eastAsia="zh-CN" w:bidi="ar-SA"/>
        </w:rPr>
        <w:t>、劳务报价说明</w:t>
      </w:r>
      <w:r>
        <w:rPr>
          <w:rFonts w:hint="eastAsia" w:ascii="Calibri" w:hAnsi="Calibri" w:cs="Times New Roman"/>
          <w:b/>
          <w:bCs/>
          <w:color w:val="auto"/>
          <w:kern w:val="2"/>
          <w:sz w:val="24"/>
          <w:szCs w:val="24"/>
          <w:highlight w:val="none"/>
          <w:lang w:val="en-US" w:eastAsia="zh-CN" w:bidi="ar-SA"/>
        </w:rPr>
        <w:t>，</w:t>
      </w:r>
      <w:r>
        <w:rPr>
          <w:rFonts w:hint="eastAsia"/>
          <w:b/>
          <w:bCs/>
          <w:color w:val="auto"/>
          <w:sz w:val="24"/>
          <w:szCs w:val="24"/>
          <w:highlight w:val="none"/>
          <w:lang w:val="en-US" w:eastAsia="zh-CN"/>
        </w:rPr>
        <w:t>本次报价包含以下内容：</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包含安全文明施工费，安全文明施工费取费应不低于工程费用的2.5%，安全文明施工费包含灭火器、土工布、降尘抑尘措施、雾炮车、道路冲洗、围挡、临时通行时用的铺路钢板、警示标志、标牌、焊烟收集器及个人防护用品等；</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本次报价包含可能的协调费、处罚（包含但不限于安全处罚和环保处罚等）、电费（包含发电机）、住宿费、</w:t>
      </w:r>
      <w:r>
        <w:rPr>
          <w:rFonts w:hint="eastAsia" w:ascii="宋体" w:hAnsi="宋体" w:eastAsia="宋体" w:cs="宋体"/>
          <w:color w:val="auto"/>
          <w:sz w:val="24"/>
          <w:szCs w:val="24"/>
          <w:highlight w:val="none"/>
          <w:lang w:val="en-US" w:eastAsia="zh-CN"/>
        </w:rPr>
        <w:t>工人保险费、管材到场卸车、倒运、退货等涉及人工机械费用等一系列费用；</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本次报价含小型设备就位，大温差机组、空气源热泵、板式换热器配合设备厂家就位；</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本次报价时单项报价包含工具、辅材等；</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室外直埋管道安装含下管机械、对口、焊接、冲洗试压；</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管材、管件、阀门、补偿器、设备（大温差机组、水泵、换热器、除污器、水箱、软水）、支架用型钢和钢管、铸铁井盖由甲方提供；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基础钢筋、混凝土、砌块（砖）、模板、预埋钢板、法兰、螺栓、钢垫、聚四氟乙烯垫、沥青混凝土、便道砖等所需材料由劳务单位提供；</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含室外阀门井（含材料），井室保修二年；</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报价中不含保温补口、站内保温；</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本次报价为固定单价，工程量据实结算；</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如无特殊情况，领取的材料超过实际用量未退回的，按照甲方采买价格从劳务费中扣除；</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按图纸要求进行焊口检测，首次检测合格率要求达到95%以上，如达不到，按返修口60元/片处罚，并且二次检测费用由劳务承担；合格率低于90%的劳务队伍予以清退。</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cstheme="minorEastAsia"/>
          <w:color w:val="auto"/>
          <w:kern w:val="0"/>
          <w:sz w:val="24"/>
          <w:highlight w:val="none"/>
          <w:lang w:eastAsia="zh-CN" w:bidi="ar"/>
        </w:rPr>
      </w:pPr>
      <w:r>
        <w:rPr>
          <w:rFonts w:hint="eastAsia" w:ascii="Calibri" w:hAnsi="Calibri" w:eastAsia="宋体" w:cs="Times New Roman"/>
          <w:b/>
          <w:bCs/>
          <w:color w:val="auto"/>
          <w:kern w:val="2"/>
          <w:sz w:val="24"/>
          <w:szCs w:val="24"/>
          <w:highlight w:val="none"/>
          <w:lang w:val="en-US" w:eastAsia="zh-CN" w:bidi="ar-SA"/>
        </w:rPr>
        <w:t>二、劳务清单报价表（见附件）</w:t>
      </w:r>
    </w:p>
    <w:p>
      <w:pPr>
        <w:rPr>
          <w:rFonts w:hint="default"/>
          <w:b/>
          <w:bCs/>
          <w:color w:val="auto"/>
          <w:sz w:val="24"/>
          <w:szCs w:val="32"/>
          <w:highlight w:val="none"/>
          <w:lang w:val="en-US" w:eastAsia="zh-CN"/>
        </w:rPr>
      </w:pPr>
      <w:bookmarkStart w:id="82" w:name="OLE_LINK4"/>
      <w:r>
        <w:rPr>
          <w:rFonts w:hint="eastAsia" w:asciiTheme="minorEastAsia" w:hAnsiTheme="minorEastAsia" w:cstheme="minorEastAsia"/>
          <w:b/>
          <w:bCs/>
          <w:color w:val="auto"/>
          <w:kern w:val="0"/>
          <w:sz w:val="32"/>
          <w:szCs w:val="32"/>
          <w:highlight w:val="none"/>
          <w:lang w:val="en-US" w:eastAsia="zh-CN" w:bidi="ar"/>
        </w:rPr>
        <w:t>注：所有报价清单应逐页加盖供应商单位公章，未逐页加盖响应文件按无效处理。</w:t>
      </w:r>
    </w:p>
    <w:bookmarkEnd w:id="82"/>
    <w:p>
      <w:pPr>
        <w:rPr>
          <w:rFonts w:hint="eastAsia" w:asciiTheme="minorEastAsia" w:hAnsiTheme="minorEastAsia" w:cstheme="minorEastAsia"/>
          <w:color w:val="auto"/>
          <w:kern w:val="0"/>
          <w:sz w:val="24"/>
          <w:highlight w:val="none"/>
          <w:lang w:bidi="ar"/>
        </w:rPr>
      </w:pPr>
    </w:p>
    <w:bookmarkEnd w:id="77"/>
    <w:p>
      <w:pPr>
        <w:pStyle w:val="6"/>
        <w:numPr>
          <w:ilvl w:val="0"/>
          <w:numId w:val="5"/>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附表</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劳动力计划表</w:t>
      </w:r>
    </w:p>
    <w:p>
      <w:pPr>
        <w:tabs>
          <w:tab w:val="left" w:pos="720"/>
        </w:tabs>
        <w:spacing w:line="440" w:lineRule="exact"/>
        <w:ind w:firstLine="360" w:firstLineChars="150"/>
        <w:rPr>
          <w:rFonts w:hint="eastAsia" w:ascii="宋体" w:hAnsi="宋体" w:eastAsia="宋体" w:cs="宋体"/>
          <w:color w:val="auto"/>
          <w:sz w:val="24"/>
          <w:szCs w:val="24"/>
          <w:highlight w:val="none"/>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color w:val="auto"/>
          <w:highlight w:val="none"/>
        </w:rPr>
      </w:pPr>
    </w:p>
    <w:p>
      <w:pPr>
        <w:rPr>
          <w:rFonts w:asciiTheme="minorEastAsia" w:hAnsiTheme="minorEastAsia" w:cstheme="minorEastAsia"/>
          <w:color w:val="auto"/>
          <w:kern w:val="0"/>
          <w:sz w:val="24"/>
          <w:highlight w:val="none"/>
          <w:lang w:bidi="ar"/>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spacing w:line="440" w:lineRule="exact"/>
        <w:rPr>
          <w:rFonts w:hint="eastAsia" w:ascii="宋体" w:hAnsi="宋体"/>
          <w:color w:val="auto"/>
          <w:sz w:val="20"/>
          <w:highlight w:val="none"/>
        </w:rPr>
      </w:pPr>
    </w:p>
    <w:p>
      <w:pPr>
        <w:spacing w:line="440" w:lineRule="exact"/>
        <w:rPr>
          <w:rFonts w:hint="eastAsia" w:ascii="宋体" w:hAnsi="宋体"/>
          <w:color w:val="auto"/>
          <w:sz w:val="20"/>
          <w:highlight w:val="none"/>
        </w:rPr>
      </w:pPr>
    </w:p>
    <w:p>
      <w:pPr>
        <w:pStyle w:val="2"/>
        <w:rPr>
          <w:rFonts w:hint="eastAsia" w:ascii="宋体" w:hAnsi="宋体"/>
          <w:color w:val="auto"/>
          <w:sz w:val="20"/>
          <w:highlight w:val="none"/>
        </w:rPr>
      </w:pPr>
    </w:p>
    <w:p>
      <w:pPr>
        <w:rPr>
          <w:rFonts w:hint="eastAsia" w:ascii="宋体" w:hAnsi="宋体"/>
          <w:color w:val="auto"/>
          <w:sz w:val="20"/>
          <w:highlight w:val="none"/>
        </w:rPr>
      </w:pPr>
    </w:p>
    <w:p>
      <w:pPr>
        <w:pStyle w:val="2"/>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：劳动力计划表</w:t>
      </w:r>
    </w:p>
    <w:p>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pStyle w:val="13"/>
        <w:rPr>
          <w:rFonts w:hint="eastAsia"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pPr>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7213"/>
    <w:multiLevelType w:val="singleLevel"/>
    <w:tmpl w:val="A7097213"/>
    <w:lvl w:ilvl="0" w:tentative="0">
      <w:start w:val="10"/>
      <w:numFmt w:val="chineseCounting"/>
      <w:suff w:val="nothing"/>
      <w:lvlText w:val="%1、"/>
      <w:lvlJc w:val="left"/>
      <w:rPr>
        <w:rFonts w:hint="eastAsia"/>
      </w:rPr>
    </w:lvl>
  </w:abstractNum>
  <w:abstractNum w:abstractNumId="1">
    <w:nsid w:val="B3D8AB0C"/>
    <w:multiLevelType w:val="singleLevel"/>
    <w:tmpl w:val="B3D8AB0C"/>
    <w:lvl w:ilvl="0" w:tentative="0">
      <w:start w:val="1"/>
      <w:numFmt w:val="decimal"/>
      <w:suff w:val="nothing"/>
      <w:lvlText w:val="%1、"/>
      <w:lvlJc w:val="left"/>
    </w:lvl>
  </w:abstractNum>
  <w:abstractNum w:abstractNumId="2">
    <w:nsid w:val="C50DA0FB"/>
    <w:multiLevelType w:val="singleLevel"/>
    <w:tmpl w:val="C50DA0FB"/>
    <w:lvl w:ilvl="0" w:tentative="0">
      <w:start w:val="3"/>
      <w:numFmt w:val="chineseCounting"/>
      <w:suff w:val="space"/>
      <w:lvlText w:val="第%1章"/>
      <w:lvlJc w:val="left"/>
      <w:rPr>
        <w:rFonts w:hint="eastAsia"/>
      </w:rPr>
    </w:lvl>
  </w:abstractNum>
  <w:abstractNum w:abstractNumId="3">
    <w:nsid w:val="D4385211"/>
    <w:multiLevelType w:val="singleLevel"/>
    <w:tmpl w:val="D4385211"/>
    <w:lvl w:ilvl="0" w:tentative="0">
      <w:start w:val="11"/>
      <w:numFmt w:val="chineseCounting"/>
      <w:suff w:val="nothing"/>
      <w:lvlText w:val="%1、"/>
      <w:lvlJc w:val="left"/>
      <w:rPr>
        <w:rFonts w:hint="eastAsia"/>
      </w:rPr>
    </w:lvl>
  </w:abstractNum>
  <w:abstractNum w:abstractNumId="4">
    <w:nsid w:val="ED7556D4"/>
    <w:multiLevelType w:val="singleLevel"/>
    <w:tmpl w:val="ED7556D4"/>
    <w:lvl w:ilvl="0" w:tentative="0">
      <w:start w:val="1"/>
      <w:numFmt w:val="decimal"/>
      <w:suff w:val="nothing"/>
      <w:lvlText w:val="（%1）"/>
      <w:lvlJc w:val="left"/>
      <w:pPr>
        <w:ind w:left="81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728AD"/>
    <w:rsid w:val="01BC027B"/>
    <w:rsid w:val="01CD47B6"/>
    <w:rsid w:val="01E46384"/>
    <w:rsid w:val="02080A95"/>
    <w:rsid w:val="021466B3"/>
    <w:rsid w:val="02482F74"/>
    <w:rsid w:val="02691984"/>
    <w:rsid w:val="0295277A"/>
    <w:rsid w:val="02A705E4"/>
    <w:rsid w:val="02DE0761"/>
    <w:rsid w:val="02E36786"/>
    <w:rsid w:val="02E378B3"/>
    <w:rsid w:val="02F519F3"/>
    <w:rsid w:val="03024860"/>
    <w:rsid w:val="031418F0"/>
    <w:rsid w:val="032471B5"/>
    <w:rsid w:val="0330707F"/>
    <w:rsid w:val="03403BCC"/>
    <w:rsid w:val="03773FC1"/>
    <w:rsid w:val="03806F86"/>
    <w:rsid w:val="038D1289"/>
    <w:rsid w:val="03B64756"/>
    <w:rsid w:val="03B66504"/>
    <w:rsid w:val="03E24CA9"/>
    <w:rsid w:val="04041965"/>
    <w:rsid w:val="0430275A"/>
    <w:rsid w:val="046E69E5"/>
    <w:rsid w:val="04D62941"/>
    <w:rsid w:val="04FF037E"/>
    <w:rsid w:val="05147CF7"/>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F33881"/>
    <w:rsid w:val="08F60544"/>
    <w:rsid w:val="08FD6892"/>
    <w:rsid w:val="091044EC"/>
    <w:rsid w:val="095F13EB"/>
    <w:rsid w:val="097114C8"/>
    <w:rsid w:val="09B74B30"/>
    <w:rsid w:val="09CF1C32"/>
    <w:rsid w:val="09F8206C"/>
    <w:rsid w:val="0A46459A"/>
    <w:rsid w:val="0A956623"/>
    <w:rsid w:val="0A9771DA"/>
    <w:rsid w:val="0AC9453B"/>
    <w:rsid w:val="0ACF61B8"/>
    <w:rsid w:val="0AD100BF"/>
    <w:rsid w:val="0AD211C7"/>
    <w:rsid w:val="0AF40659"/>
    <w:rsid w:val="0B09160F"/>
    <w:rsid w:val="0B3A6748"/>
    <w:rsid w:val="0B4437B1"/>
    <w:rsid w:val="0B4D7ACC"/>
    <w:rsid w:val="0B7E21AE"/>
    <w:rsid w:val="0B910ED9"/>
    <w:rsid w:val="0BDD06D2"/>
    <w:rsid w:val="0C00135A"/>
    <w:rsid w:val="0C0F0E5D"/>
    <w:rsid w:val="0C450D6C"/>
    <w:rsid w:val="0C4F5B11"/>
    <w:rsid w:val="0C873BC0"/>
    <w:rsid w:val="0CA75FE9"/>
    <w:rsid w:val="0CF043C9"/>
    <w:rsid w:val="0CF07C3A"/>
    <w:rsid w:val="0CFD1FA3"/>
    <w:rsid w:val="0D083455"/>
    <w:rsid w:val="0D1644B7"/>
    <w:rsid w:val="0D5015D5"/>
    <w:rsid w:val="0D6830E6"/>
    <w:rsid w:val="0D8F1A4E"/>
    <w:rsid w:val="0DB671A8"/>
    <w:rsid w:val="0DD42A3B"/>
    <w:rsid w:val="0DD76319"/>
    <w:rsid w:val="0E1053AA"/>
    <w:rsid w:val="0E1244F4"/>
    <w:rsid w:val="0E195CD7"/>
    <w:rsid w:val="0E245572"/>
    <w:rsid w:val="0E255E68"/>
    <w:rsid w:val="0E3D753A"/>
    <w:rsid w:val="0E6D7D87"/>
    <w:rsid w:val="0E6F29F0"/>
    <w:rsid w:val="0E775F34"/>
    <w:rsid w:val="0E7A447D"/>
    <w:rsid w:val="0E8B20F7"/>
    <w:rsid w:val="0EA63619"/>
    <w:rsid w:val="0ECD26A8"/>
    <w:rsid w:val="0F0C5B71"/>
    <w:rsid w:val="0F11138C"/>
    <w:rsid w:val="0F1C55DE"/>
    <w:rsid w:val="0F3C2183"/>
    <w:rsid w:val="0F4D38FA"/>
    <w:rsid w:val="0F683238"/>
    <w:rsid w:val="0F751406"/>
    <w:rsid w:val="0FB334F2"/>
    <w:rsid w:val="0FCA25C0"/>
    <w:rsid w:val="10122F15"/>
    <w:rsid w:val="103847A1"/>
    <w:rsid w:val="10484EAB"/>
    <w:rsid w:val="10530920"/>
    <w:rsid w:val="105B2B60"/>
    <w:rsid w:val="10EE41A2"/>
    <w:rsid w:val="10F6674B"/>
    <w:rsid w:val="110765D4"/>
    <w:rsid w:val="115647A1"/>
    <w:rsid w:val="123D251C"/>
    <w:rsid w:val="12945BE2"/>
    <w:rsid w:val="12997D3C"/>
    <w:rsid w:val="12B229AE"/>
    <w:rsid w:val="12E50BB3"/>
    <w:rsid w:val="12F933E4"/>
    <w:rsid w:val="12FB03D7"/>
    <w:rsid w:val="130A45A0"/>
    <w:rsid w:val="134A0072"/>
    <w:rsid w:val="13542D2B"/>
    <w:rsid w:val="13602D13"/>
    <w:rsid w:val="137950CF"/>
    <w:rsid w:val="137F7DA4"/>
    <w:rsid w:val="13B42F5A"/>
    <w:rsid w:val="13B60AF5"/>
    <w:rsid w:val="13C73778"/>
    <w:rsid w:val="13D20CDB"/>
    <w:rsid w:val="13D247DC"/>
    <w:rsid w:val="13D529D6"/>
    <w:rsid w:val="13EE6172"/>
    <w:rsid w:val="140E5CC7"/>
    <w:rsid w:val="141A6B7F"/>
    <w:rsid w:val="146503D1"/>
    <w:rsid w:val="1469194C"/>
    <w:rsid w:val="14AE6D61"/>
    <w:rsid w:val="14C117D0"/>
    <w:rsid w:val="151439D2"/>
    <w:rsid w:val="15270110"/>
    <w:rsid w:val="15282BA2"/>
    <w:rsid w:val="15491DB4"/>
    <w:rsid w:val="154C06FA"/>
    <w:rsid w:val="155A5452"/>
    <w:rsid w:val="15891FD5"/>
    <w:rsid w:val="159C29DB"/>
    <w:rsid w:val="15CA1404"/>
    <w:rsid w:val="15D46CBD"/>
    <w:rsid w:val="15E80F18"/>
    <w:rsid w:val="15F27E2C"/>
    <w:rsid w:val="160A3C74"/>
    <w:rsid w:val="16251E95"/>
    <w:rsid w:val="162815F2"/>
    <w:rsid w:val="1698748D"/>
    <w:rsid w:val="16D3294B"/>
    <w:rsid w:val="170A7F92"/>
    <w:rsid w:val="17530D90"/>
    <w:rsid w:val="176063AF"/>
    <w:rsid w:val="17AA2ACD"/>
    <w:rsid w:val="17D664FB"/>
    <w:rsid w:val="17DA603F"/>
    <w:rsid w:val="18021C3D"/>
    <w:rsid w:val="1803792E"/>
    <w:rsid w:val="18253800"/>
    <w:rsid w:val="18270E13"/>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7C32A7"/>
    <w:rsid w:val="1B8C7FC0"/>
    <w:rsid w:val="1BA95B3C"/>
    <w:rsid w:val="1BB7608B"/>
    <w:rsid w:val="1BB90559"/>
    <w:rsid w:val="1BC11D23"/>
    <w:rsid w:val="1BD50803"/>
    <w:rsid w:val="1BDD1C2D"/>
    <w:rsid w:val="1BDE68FA"/>
    <w:rsid w:val="1BE96D59"/>
    <w:rsid w:val="1C143DF4"/>
    <w:rsid w:val="1C1768B0"/>
    <w:rsid w:val="1C204A0A"/>
    <w:rsid w:val="1C28484D"/>
    <w:rsid w:val="1C457F29"/>
    <w:rsid w:val="1C712174"/>
    <w:rsid w:val="1C780D06"/>
    <w:rsid w:val="1C8E5517"/>
    <w:rsid w:val="1C9167E2"/>
    <w:rsid w:val="1CEE01FD"/>
    <w:rsid w:val="1CFD2E14"/>
    <w:rsid w:val="1D247268"/>
    <w:rsid w:val="1D317BC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61797E"/>
    <w:rsid w:val="1F6327D4"/>
    <w:rsid w:val="1F856646"/>
    <w:rsid w:val="1FBD4650"/>
    <w:rsid w:val="202E0905"/>
    <w:rsid w:val="20791647"/>
    <w:rsid w:val="20937CAB"/>
    <w:rsid w:val="20966927"/>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F814A8"/>
    <w:rsid w:val="231A075E"/>
    <w:rsid w:val="234B5903"/>
    <w:rsid w:val="234D0AD8"/>
    <w:rsid w:val="23560464"/>
    <w:rsid w:val="236A7E67"/>
    <w:rsid w:val="241F1A4B"/>
    <w:rsid w:val="2423778D"/>
    <w:rsid w:val="24241FC4"/>
    <w:rsid w:val="242B0311"/>
    <w:rsid w:val="24325B9D"/>
    <w:rsid w:val="243341C2"/>
    <w:rsid w:val="247973AD"/>
    <w:rsid w:val="24A616FA"/>
    <w:rsid w:val="24AD0375"/>
    <w:rsid w:val="24B7766B"/>
    <w:rsid w:val="24CB4246"/>
    <w:rsid w:val="25010274"/>
    <w:rsid w:val="254A5A35"/>
    <w:rsid w:val="255E767B"/>
    <w:rsid w:val="255F3441"/>
    <w:rsid w:val="256C658B"/>
    <w:rsid w:val="25787A64"/>
    <w:rsid w:val="258F63EA"/>
    <w:rsid w:val="25995468"/>
    <w:rsid w:val="262A3F60"/>
    <w:rsid w:val="263830D3"/>
    <w:rsid w:val="266E17DC"/>
    <w:rsid w:val="26734A4E"/>
    <w:rsid w:val="268B0CC8"/>
    <w:rsid w:val="269022F8"/>
    <w:rsid w:val="26FD2EB0"/>
    <w:rsid w:val="27076141"/>
    <w:rsid w:val="27135B8A"/>
    <w:rsid w:val="276D0DCF"/>
    <w:rsid w:val="2775496D"/>
    <w:rsid w:val="27DD52FC"/>
    <w:rsid w:val="27F703DA"/>
    <w:rsid w:val="28042BB9"/>
    <w:rsid w:val="280F4EAC"/>
    <w:rsid w:val="286936B4"/>
    <w:rsid w:val="286C6B36"/>
    <w:rsid w:val="28707ECA"/>
    <w:rsid w:val="289E6721"/>
    <w:rsid w:val="28C3509B"/>
    <w:rsid w:val="2907532F"/>
    <w:rsid w:val="2910157E"/>
    <w:rsid w:val="297B3226"/>
    <w:rsid w:val="299A0D32"/>
    <w:rsid w:val="29EB065A"/>
    <w:rsid w:val="2A0D122A"/>
    <w:rsid w:val="2A2658E2"/>
    <w:rsid w:val="2A7C30BA"/>
    <w:rsid w:val="2A984BE7"/>
    <w:rsid w:val="2A9F7442"/>
    <w:rsid w:val="2AC855F1"/>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A4365"/>
    <w:rsid w:val="2CC41C4B"/>
    <w:rsid w:val="2CF926E4"/>
    <w:rsid w:val="2D0D47CD"/>
    <w:rsid w:val="2D102BF9"/>
    <w:rsid w:val="2D3C76F4"/>
    <w:rsid w:val="2D4D636B"/>
    <w:rsid w:val="2D562DE4"/>
    <w:rsid w:val="2D6B2EB5"/>
    <w:rsid w:val="2DAF2092"/>
    <w:rsid w:val="2DBA2F55"/>
    <w:rsid w:val="2E667CBE"/>
    <w:rsid w:val="2E8B665B"/>
    <w:rsid w:val="2EBE11F1"/>
    <w:rsid w:val="2EC63817"/>
    <w:rsid w:val="2FAD4C39"/>
    <w:rsid w:val="2FBA2EA3"/>
    <w:rsid w:val="2FD9050F"/>
    <w:rsid w:val="2FE43DD4"/>
    <w:rsid w:val="300643B7"/>
    <w:rsid w:val="30240B15"/>
    <w:rsid w:val="303D0613"/>
    <w:rsid w:val="30403DE9"/>
    <w:rsid w:val="30622AB9"/>
    <w:rsid w:val="30A746DC"/>
    <w:rsid w:val="30AA1882"/>
    <w:rsid w:val="30EF0850"/>
    <w:rsid w:val="3112086C"/>
    <w:rsid w:val="31152C49"/>
    <w:rsid w:val="31181622"/>
    <w:rsid w:val="3122326C"/>
    <w:rsid w:val="31504BCA"/>
    <w:rsid w:val="3179279B"/>
    <w:rsid w:val="31794157"/>
    <w:rsid w:val="31A274B0"/>
    <w:rsid w:val="31B330A9"/>
    <w:rsid w:val="31E10868"/>
    <w:rsid w:val="31E57A28"/>
    <w:rsid w:val="32010D08"/>
    <w:rsid w:val="321C62E8"/>
    <w:rsid w:val="324B7C11"/>
    <w:rsid w:val="329F7084"/>
    <w:rsid w:val="32CD234D"/>
    <w:rsid w:val="330508B6"/>
    <w:rsid w:val="33313F35"/>
    <w:rsid w:val="338E62D4"/>
    <w:rsid w:val="33B40CA0"/>
    <w:rsid w:val="33D44600"/>
    <w:rsid w:val="34894ACA"/>
    <w:rsid w:val="34BC04BE"/>
    <w:rsid w:val="34C0625E"/>
    <w:rsid w:val="34C757E7"/>
    <w:rsid w:val="35004C9D"/>
    <w:rsid w:val="35212D70"/>
    <w:rsid w:val="35287674"/>
    <w:rsid w:val="354547DD"/>
    <w:rsid w:val="354C6C98"/>
    <w:rsid w:val="355318B8"/>
    <w:rsid w:val="357C7C52"/>
    <w:rsid w:val="359E527F"/>
    <w:rsid w:val="35CC1E73"/>
    <w:rsid w:val="35D20537"/>
    <w:rsid w:val="35E55632"/>
    <w:rsid w:val="35EC2E63"/>
    <w:rsid w:val="35F24ED4"/>
    <w:rsid w:val="35F50137"/>
    <w:rsid w:val="36574772"/>
    <w:rsid w:val="36986A0F"/>
    <w:rsid w:val="36E81282"/>
    <w:rsid w:val="370D2DA5"/>
    <w:rsid w:val="37421592"/>
    <w:rsid w:val="374750E9"/>
    <w:rsid w:val="374B6987"/>
    <w:rsid w:val="37BA1D5F"/>
    <w:rsid w:val="37C65CB3"/>
    <w:rsid w:val="386C12AB"/>
    <w:rsid w:val="386D5CDF"/>
    <w:rsid w:val="387C6CD3"/>
    <w:rsid w:val="38BD3C39"/>
    <w:rsid w:val="38CC1E7E"/>
    <w:rsid w:val="38E10C17"/>
    <w:rsid w:val="39017F3E"/>
    <w:rsid w:val="39072947"/>
    <w:rsid w:val="390F0E67"/>
    <w:rsid w:val="39351138"/>
    <w:rsid w:val="394F514D"/>
    <w:rsid w:val="3961076D"/>
    <w:rsid w:val="39671A73"/>
    <w:rsid w:val="398A6F78"/>
    <w:rsid w:val="398B6DCA"/>
    <w:rsid w:val="3A3C6F5F"/>
    <w:rsid w:val="3A5B15D7"/>
    <w:rsid w:val="3A7B01B9"/>
    <w:rsid w:val="3A84498A"/>
    <w:rsid w:val="3A9453AE"/>
    <w:rsid w:val="3AAB1519"/>
    <w:rsid w:val="3B6F42AD"/>
    <w:rsid w:val="3B7C7A57"/>
    <w:rsid w:val="3B826922"/>
    <w:rsid w:val="3B861270"/>
    <w:rsid w:val="3B8F3959"/>
    <w:rsid w:val="3BB261EF"/>
    <w:rsid w:val="3BD15BD6"/>
    <w:rsid w:val="3C0435A9"/>
    <w:rsid w:val="3C436364"/>
    <w:rsid w:val="3C4A598C"/>
    <w:rsid w:val="3C4E2A76"/>
    <w:rsid w:val="3C9B2663"/>
    <w:rsid w:val="3CA05C88"/>
    <w:rsid w:val="3CBB3E05"/>
    <w:rsid w:val="3CC16B3B"/>
    <w:rsid w:val="3CD411CD"/>
    <w:rsid w:val="3CF278A5"/>
    <w:rsid w:val="3D5F318D"/>
    <w:rsid w:val="3D78251B"/>
    <w:rsid w:val="3D78424E"/>
    <w:rsid w:val="3D7B31B9"/>
    <w:rsid w:val="3DAB605B"/>
    <w:rsid w:val="3DBB7565"/>
    <w:rsid w:val="3DEC244C"/>
    <w:rsid w:val="3DF12AE1"/>
    <w:rsid w:val="3DFD2430"/>
    <w:rsid w:val="3E2D0960"/>
    <w:rsid w:val="3E363620"/>
    <w:rsid w:val="3E4D3213"/>
    <w:rsid w:val="3E5B4F95"/>
    <w:rsid w:val="3E5E55D0"/>
    <w:rsid w:val="3E9C53E0"/>
    <w:rsid w:val="3EA70EC3"/>
    <w:rsid w:val="3EA7714D"/>
    <w:rsid w:val="3EB74FA4"/>
    <w:rsid w:val="3EC7634F"/>
    <w:rsid w:val="3ED00783"/>
    <w:rsid w:val="3F1F2850"/>
    <w:rsid w:val="3F351CC9"/>
    <w:rsid w:val="3F550D6D"/>
    <w:rsid w:val="3F551E8B"/>
    <w:rsid w:val="3F6D4AB2"/>
    <w:rsid w:val="3F8F2D64"/>
    <w:rsid w:val="3FAC772F"/>
    <w:rsid w:val="3FD1041F"/>
    <w:rsid w:val="4007741B"/>
    <w:rsid w:val="4073162B"/>
    <w:rsid w:val="40B6335A"/>
    <w:rsid w:val="40CD665F"/>
    <w:rsid w:val="410A5FE5"/>
    <w:rsid w:val="413C6EDE"/>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D07401"/>
    <w:rsid w:val="42E642DB"/>
    <w:rsid w:val="42EA5C76"/>
    <w:rsid w:val="430371A9"/>
    <w:rsid w:val="430F4DE6"/>
    <w:rsid w:val="431007DA"/>
    <w:rsid w:val="43154FCB"/>
    <w:rsid w:val="4336151A"/>
    <w:rsid w:val="43914424"/>
    <w:rsid w:val="43915B61"/>
    <w:rsid w:val="439416B6"/>
    <w:rsid w:val="43C747A4"/>
    <w:rsid w:val="440C3942"/>
    <w:rsid w:val="44846F85"/>
    <w:rsid w:val="44872505"/>
    <w:rsid w:val="449530D2"/>
    <w:rsid w:val="44990651"/>
    <w:rsid w:val="44A07152"/>
    <w:rsid w:val="451653FF"/>
    <w:rsid w:val="45770626"/>
    <w:rsid w:val="459933EC"/>
    <w:rsid w:val="45D941B9"/>
    <w:rsid w:val="45DC1F0A"/>
    <w:rsid w:val="45E16C49"/>
    <w:rsid w:val="4612658A"/>
    <w:rsid w:val="4678706D"/>
    <w:rsid w:val="468C4E2B"/>
    <w:rsid w:val="46E607E6"/>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02279"/>
    <w:rsid w:val="499F771B"/>
    <w:rsid w:val="49D83949"/>
    <w:rsid w:val="49EC224C"/>
    <w:rsid w:val="4A054E7C"/>
    <w:rsid w:val="4A16118F"/>
    <w:rsid w:val="4A6B1B30"/>
    <w:rsid w:val="4A7D3714"/>
    <w:rsid w:val="4A8D6A8D"/>
    <w:rsid w:val="4A9C24DA"/>
    <w:rsid w:val="4A9D27AC"/>
    <w:rsid w:val="4AB52BE8"/>
    <w:rsid w:val="4AF24FBC"/>
    <w:rsid w:val="4B67770B"/>
    <w:rsid w:val="4BBB3347"/>
    <w:rsid w:val="4BE442BB"/>
    <w:rsid w:val="4BEB29DC"/>
    <w:rsid w:val="4BED32E8"/>
    <w:rsid w:val="4C004579"/>
    <w:rsid w:val="4C060A66"/>
    <w:rsid w:val="4C343A36"/>
    <w:rsid w:val="4C371E51"/>
    <w:rsid w:val="4C5F0208"/>
    <w:rsid w:val="4C6563D3"/>
    <w:rsid w:val="4C742B44"/>
    <w:rsid w:val="4C817665"/>
    <w:rsid w:val="4C871E9E"/>
    <w:rsid w:val="4CA86510"/>
    <w:rsid w:val="4CBE13D1"/>
    <w:rsid w:val="4CD8104F"/>
    <w:rsid w:val="4CDD5E7C"/>
    <w:rsid w:val="4CE47F09"/>
    <w:rsid w:val="4CEF1D26"/>
    <w:rsid w:val="4CF640AF"/>
    <w:rsid w:val="4D2573D1"/>
    <w:rsid w:val="4D625E90"/>
    <w:rsid w:val="4D6B16DA"/>
    <w:rsid w:val="4D7C5CCF"/>
    <w:rsid w:val="4DAE4F0E"/>
    <w:rsid w:val="4DB4421B"/>
    <w:rsid w:val="4DDE26C9"/>
    <w:rsid w:val="4DDE330B"/>
    <w:rsid w:val="4DE60EA8"/>
    <w:rsid w:val="4DF146DD"/>
    <w:rsid w:val="4E093005"/>
    <w:rsid w:val="4E16288F"/>
    <w:rsid w:val="4E173672"/>
    <w:rsid w:val="4E51725E"/>
    <w:rsid w:val="4E584EC0"/>
    <w:rsid w:val="4EDD2A65"/>
    <w:rsid w:val="4EFA0F67"/>
    <w:rsid w:val="4F0C0C9A"/>
    <w:rsid w:val="4F145222"/>
    <w:rsid w:val="4F422DFE"/>
    <w:rsid w:val="4F78060E"/>
    <w:rsid w:val="4F804B45"/>
    <w:rsid w:val="4F872BAD"/>
    <w:rsid w:val="4FA642AC"/>
    <w:rsid w:val="4FA91569"/>
    <w:rsid w:val="4FB529A6"/>
    <w:rsid w:val="4FDE35F9"/>
    <w:rsid w:val="4FE614EB"/>
    <w:rsid w:val="500D6A78"/>
    <w:rsid w:val="50320027"/>
    <w:rsid w:val="503A5697"/>
    <w:rsid w:val="504058BC"/>
    <w:rsid w:val="50827466"/>
    <w:rsid w:val="509067D8"/>
    <w:rsid w:val="5099042C"/>
    <w:rsid w:val="50A82C45"/>
    <w:rsid w:val="50C27555"/>
    <w:rsid w:val="50D40202"/>
    <w:rsid w:val="50D457E8"/>
    <w:rsid w:val="510B66E9"/>
    <w:rsid w:val="512B6180"/>
    <w:rsid w:val="513C3921"/>
    <w:rsid w:val="5153495F"/>
    <w:rsid w:val="517843C5"/>
    <w:rsid w:val="518A3654"/>
    <w:rsid w:val="51CA3667"/>
    <w:rsid w:val="521756B0"/>
    <w:rsid w:val="522C3700"/>
    <w:rsid w:val="52355520"/>
    <w:rsid w:val="526C4D2E"/>
    <w:rsid w:val="52A4575E"/>
    <w:rsid w:val="53062BA0"/>
    <w:rsid w:val="530974A8"/>
    <w:rsid w:val="53365718"/>
    <w:rsid w:val="533D567A"/>
    <w:rsid w:val="53566988"/>
    <w:rsid w:val="53A073DA"/>
    <w:rsid w:val="53AD5DF4"/>
    <w:rsid w:val="53B2143C"/>
    <w:rsid w:val="53C97369"/>
    <w:rsid w:val="53E9751D"/>
    <w:rsid w:val="54120B01"/>
    <w:rsid w:val="542B5596"/>
    <w:rsid w:val="54336CC9"/>
    <w:rsid w:val="543A5C5E"/>
    <w:rsid w:val="54C40F6E"/>
    <w:rsid w:val="54CA42CA"/>
    <w:rsid w:val="54CC3E9E"/>
    <w:rsid w:val="54D20FCD"/>
    <w:rsid w:val="55434CEA"/>
    <w:rsid w:val="555B736E"/>
    <w:rsid w:val="55933427"/>
    <w:rsid w:val="5596368D"/>
    <w:rsid w:val="559A389F"/>
    <w:rsid w:val="55A26B8A"/>
    <w:rsid w:val="55C53202"/>
    <w:rsid w:val="55D50A77"/>
    <w:rsid w:val="55DB13C7"/>
    <w:rsid w:val="55E83909"/>
    <w:rsid w:val="56124180"/>
    <w:rsid w:val="56222B52"/>
    <w:rsid w:val="56294ABC"/>
    <w:rsid w:val="564A7D70"/>
    <w:rsid w:val="56656F6C"/>
    <w:rsid w:val="56737851"/>
    <w:rsid w:val="567614FF"/>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B0B64"/>
    <w:rsid w:val="588B41C8"/>
    <w:rsid w:val="58CA32E2"/>
    <w:rsid w:val="58D35D0B"/>
    <w:rsid w:val="58E158AF"/>
    <w:rsid w:val="59002A9B"/>
    <w:rsid w:val="592D018B"/>
    <w:rsid w:val="5936669E"/>
    <w:rsid w:val="597908A1"/>
    <w:rsid w:val="59A7588E"/>
    <w:rsid w:val="59AA3BD8"/>
    <w:rsid w:val="59B134D1"/>
    <w:rsid w:val="59B83A6B"/>
    <w:rsid w:val="59B91A1F"/>
    <w:rsid w:val="5A003AEC"/>
    <w:rsid w:val="5A056A12"/>
    <w:rsid w:val="5A120D2F"/>
    <w:rsid w:val="5A6A76C2"/>
    <w:rsid w:val="5A7A29FB"/>
    <w:rsid w:val="5AE22C36"/>
    <w:rsid w:val="5AED3131"/>
    <w:rsid w:val="5AF37D1A"/>
    <w:rsid w:val="5B3E4C84"/>
    <w:rsid w:val="5B665563"/>
    <w:rsid w:val="5B8B2F47"/>
    <w:rsid w:val="5BBF34B1"/>
    <w:rsid w:val="5BC43956"/>
    <w:rsid w:val="5C237623"/>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852FE0"/>
    <w:rsid w:val="5F9A066A"/>
    <w:rsid w:val="5FB222AF"/>
    <w:rsid w:val="5FB55088"/>
    <w:rsid w:val="5FFB3D15"/>
    <w:rsid w:val="601A5F60"/>
    <w:rsid w:val="603A393A"/>
    <w:rsid w:val="6054573B"/>
    <w:rsid w:val="607D5A8D"/>
    <w:rsid w:val="60896B0A"/>
    <w:rsid w:val="60A76A75"/>
    <w:rsid w:val="60AF76D8"/>
    <w:rsid w:val="61274E59"/>
    <w:rsid w:val="612C12BA"/>
    <w:rsid w:val="6142298B"/>
    <w:rsid w:val="61607FC8"/>
    <w:rsid w:val="617B357D"/>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5E73B73"/>
    <w:rsid w:val="66212AB1"/>
    <w:rsid w:val="666920D7"/>
    <w:rsid w:val="667106B8"/>
    <w:rsid w:val="6672516A"/>
    <w:rsid w:val="66786189"/>
    <w:rsid w:val="669663C9"/>
    <w:rsid w:val="67201934"/>
    <w:rsid w:val="672D101A"/>
    <w:rsid w:val="674B6826"/>
    <w:rsid w:val="67D200D0"/>
    <w:rsid w:val="67DC172E"/>
    <w:rsid w:val="67E422E6"/>
    <w:rsid w:val="67F10937"/>
    <w:rsid w:val="67F40878"/>
    <w:rsid w:val="680A07A4"/>
    <w:rsid w:val="6850401C"/>
    <w:rsid w:val="68A223E7"/>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96645F"/>
    <w:rsid w:val="6AA51369"/>
    <w:rsid w:val="6B027BB7"/>
    <w:rsid w:val="6B1653A3"/>
    <w:rsid w:val="6B1A4490"/>
    <w:rsid w:val="6B4B5552"/>
    <w:rsid w:val="6B5D15E2"/>
    <w:rsid w:val="6B9A16B0"/>
    <w:rsid w:val="6C8350C7"/>
    <w:rsid w:val="6CCA0B17"/>
    <w:rsid w:val="6CCF1FC0"/>
    <w:rsid w:val="6CD45B59"/>
    <w:rsid w:val="6D4E1C4A"/>
    <w:rsid w:val="6DA91DA3"/>
    <w:rsid w:val="6DBB6C45"/>
    <w:rsid w:val="6DBD676D"/>
    <w:rsid w:val="6DD50C2C"/>
    <w:rsid w:val="6DF14B7B"/>
    <w:rsid w:val="6E19238C"/>
    <w:rsid w:val="6E3A4E45"/>
    <w:rsid w:val="6E56579E"/>
    <w:rsid w:val="6E7952FB"/>
    <w:rsid w:val="6E9F2B3A"/>
    <w:rsid w:val="6EE43495"/>
    <w:rsid w:val="6EEC54E0"/>
    <w:rsid w:val="6EFA14C2"/>
    <w:rsid w:val="6F1641C5"/>
    <w:rsid w:val="6F236916"/>
    <w:rsid w:val="6F2E4235"/>
    <w:rsid w:val="6F6C2D80"/>
    <w:rsid w:val="6F8B1697"/>
    <w:rsid w:val="6FA91B70"/>
    <w:rsid w:val="6FCF5424"/>
    <w:rsid w:val="6FD90CAD"/>
    <w:rsid w:val="6FD961A1"/>
    <w:rsid w:val="6FE158E0"/>
    <w:rsid w:val="70004737"/>
    <w:rsid w:val="700B0B10"/>
    <w:rsid w:val="700D4069"/>
    <w:rsid w:val="701F0719"/>
    <w:rsid w:val="70497EB8"/>
    <w:rsid w:val="70754519"/>
    <w:rsid w:val="707F7800"/>
    <w:rsid w:val="708740C7"/>
    <w:rsid w:val="70A46F5A"/>
    <w:rsid w:val="70BF5743"/>
    <w:rsid w:val="711A1BD8"/>
    <w:rsid w:val="714D64DA"/>
    <w:rsid w:val="715404C0"/>
    <w:rsid w:val="71A60683"/>
    <w:rsid w:val="71D602F7"/>
    <w:rsid w:val="721F25E6"/>
    <w:rsid w:val="72225F5B"/>
    <w:rsid w:val="726310A6"/>
    <w:rsid w:val="727B601C"/>
    <w:rsid w:val="72ED3BAF"/>
    <w:rsid w:val="735301FE"/>
    <w:rsid w:val="736471BB"/>
    <w:rsid w:val="73962211"/>
    <w:rsid w:val="73A423D9"/>
    <w:rsid w:val="73D019E7"/>
    <w:rsid w:val="73D62D92"/>
    <w:rsid w:val="73E23AB8"/>
    <w:rsid w:val="74245487"/>
    <w:rsid w:val="742A10F7"/>
    <w:rsid w:val="742A236B"/>
    <w:rsid w:val="743F619C"/>
    <w:rsid w:val="74B36942"/>
    <w:rsid w:val="74B84955"/>
    <w:rsid w:val="74C96C28"/>
    <w:rsid w:val="74FB1C3F"/>
    <w:rsid w:val="751746DF"/>
    <w:rsid w:val="75181898"/>
    <w:rsid w:val="754629D5"/>
    <w:rsid w:val="758636F3"/>
    <w:rsid w:val="758753A2"/>
    <w:rsid w:val="75910C14"/>
    <w:rsid w:val="759E20D6"/>
    <w:rsid w:val="75AF26AE"/>
    <w:rsid w:val="75B4608A"/>
    <w:rsid w:val="75DF705C"/>
    <w:rsid w:val="75E41F65"/>
    <w:rsid w:val="75EF230F"/>
    <w:rsid w:val="7604566A"/>
    <w:rsid w:val="76047839"/>
    <w:rsid w:val="7619489E"/>
    <w:rsid w:val="76452218"/>
    <w:rsid w:val="76571277"/>
    <w:rsid w:val="766074C4"/>
    <w:rsid w:val="76632750"/>
    <w:rsid w:val="76972DF3"/>
    <w:rsid w:val="76D33CC8"/>
    <w:rsid w:val="76E1069F"/>
    <w:rsid w:val="76E3312B"/>
    <w:rsid w:val="77041CF7"/>
    <w:rsid w:val="77042681"/>
    <w:rsid w:val="770B62D8"/>
    <w:rsid w:val="7717431B"/>
    <w:rsid w:val="771F0CBB"/>
    <w:rsid w:val="77220B12"/>
    <w:rsid w:val="778F2943"/>
    <w:rsid w:val="77C77E03"/>
    <w:rsid w:val="77D777E8"/>
    <w:rsid w:val="77F829F2"/>
    <w:rsid w:val="782242CF"/>
    <w:rsid w:val="786110AB"/>
    <w:rsid w:val="78644C58"/>
    <w:rsid w:val="78720751"/>
    <w:rsid w:val="78C21620"/>
    <w:rsid w:val="78EF259F"/>
    <w:rsid w:val="78F50C4F"/>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5A49B8"/>
    <w:rsid w:val="7B915246"/>
    <w:rsid w:val="7B9D16C3"/>
    <w:rsid w:val="7B9E47CF"/>
    <w:rsid w:val="7BC167E5"/>
    <w:rsid w:val="7C1C1C6D"/>
    <w:rsid w:val="7C3564FE"/>
    <w:rsid w:val="7C5D32E5"/>
    <w:rsid w:val="7C784E84"/>
    <w:rsid w:val="7C892AB5"/>
    <w:rsid w:val="7CC876B0"/>
    <w:rsid w:val="7CFA7FFD"/>
    <w:rsid w:val="7D763AFD"/>
    <w:rsid w:val="7D8652D5"/>
    <w:rsid w:val="7DE95B7F"/>
    <w:rsid w:val="7E191C60"/>
    <w:rsid w:val="7E337833"/>
    <w:rsid w:val="7E452FD4"/>
    <w:rsid w:val="7E461491"/>
    <w:rsid w:val="7E57661B"/>
    <w:rsid w:val="7E6D4A02"/>
    <w:rsid w:val="7E7F0292"/>
    <w:rsid w:val="7E8A7449"/>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 w:val="7FC7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4093</Words>
  <Characters>4450</Characters>
  <Lines>1</Lines>
  <Paragraphs>1</Paragraphs>
  <TotalTime>11</TotalTime>
  <ScaleCrop>false</ScaleCrop>
  <LinksUpToDate>false</LinksUpToDate>
  <CharactersWithSpaces>5472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2025-09-08T09:40:38Z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