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sz w:val="22"/>
          <w:szCs w:val="22"/>
          <w:highlight w:val="none"/>
        </w:rPr>
      </w:pPr>
      <w:r>
        <w:rPr>
          <w:rFonts w:hint="eastAsia" w:cs="宋体"/>
          <w:b/>
          <w:bCs/>
          <w:color w:val="auto"/>
          <w:sz w:val="52"/>
          <w:szCs w:val="52"/>
          <w:highlight w:val="none"/>
          <w:u w:val="none"/>
          <w:lang w:val="en-US" w:eastAsia="zh-CN"/>
        </w:rPr>
        <w:t>某项目（桥西区）劳务分包</w:t>
      </w: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bookmarkStart w:id="85" w:name="_GoBack"/>
      <w:bookmarkEnd w:id="85"/>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某项目（桥西区）劳务分包公开比选采购公告</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某项目（桥西区）劳务分包</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cs="宋体"/>
          <w:b/>
          <w:bCs/>
          <w:color w:val="auto"/>
          <w:sz w:val="24"/>
          <w:highlight w:val="none"/>
          <w:lang w:val="en-US" w:eastAsia="zh-CN"/>
        </w:rPr>
        <w:t>二、</w:t>
      </w: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采购范围：</w:t>
      </w:r>
      <w:r>
        <w:rPr>
          <w:rFonts w:hint="eastAsia" w:ascii="宋体" w:hAnsi="宋体" w:cs="宋体"/>
          <w:b w:val="0"/>
          <w:bCs w:val="0"/>
          <w:color w:val="auto"/>
          <w:sz w:val="24"/>
          <w:highlight w:val="none"/>
          <w:lang w:eastAsia="zh-CN"/>
        </w:rPr>
        <w:t>某项目（桥西区）</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r>
        <w:rPr>
          <w:rFonts w:hint="eastAsia" w:ascii="宋体" w:hAnsi="宋体" w:cs="宋体"/>
          <w:color w:val="auto"/>
          <w:sz w:val="24"/>
          <w:highlight w:val="none"/>
          <w:lang w:val="en-US" w:eastAsia="zh-CN"/>
        </w:rPr>
        <w:t xml:space="preserve">通知开工之日起至2025年11月05日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2"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2"/>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3"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3"/>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4"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4"/>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如确认参加此次比选，需在2025年09月11日11时前将确认参加比选回执函（详见附件）发送到邮箱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5" w:name="_Toc26879"/>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6" w:name="_Toc25146"/>
      <w:r>
        <w:rPr>
          <w:rFonts w:hint="eastAsia" w:ascii="宋体" w:hAnsi="宋体" w:cs="宋体"/>
          <w:b/>
          <w:bCs/>
          <w:color w:val="auto"/>
          <w:sz w:val="36"/>
          <w:szCs w:val="36"/>
          <w:highlight w:val="none"/>
          <w:lang w:val="en-US" w:eastAsia="zh-CN"/>
        </w:rPr>
        <w:t>确认参加比选回执函</w:t>
      </w:r>
      <w:bookmarkEnd w:id="6"/>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7" w:name="_Toc28397"/>
      <w:r>
        <w:rPr>
          <w:rFonts w:hint="eastAsia" w:ascii="宋体" w:hAnsi="宋体" w:eastAsia="宋体" w:cs="宋体"/>
          <w:color w:val="auto"/>
          <w:sz w:val="28"/>
          <w:szCs w:val="28"/>
          <w:highlight w:val="none"/>
          <w:lang w:eastAsia="zh-CN"/>
        </w:rPr>
        <w:t>石家庄承宏工程建设有限公司：</w:t>
      </w:r>
      <w:bookmarkEnd w:id="7"/>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single"/>
          <w:lang w:val="en-US" w:eastAsia="zh-CN"/>
        </w:rPr>
        <w:t>某项目（桥西区）劳务分包</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8"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5"/>
      <w:bookmarkEnd w:id="8"/>
      <w:bookmarkStart w:id="9" w:name="_Toc17889"/>
    </w:p>
    <w:bookmarkEnd w:id="9"/>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0" w:name="_Toc2285"/>
      <w:bookmarkStart w:id="11" w:name="_Toc29085"/>
      <w:r>
        <w:rPr>
          <w:rFonts w:hint="eastAsia" w:ascii="宋体" w:hAnsi="宋体" w:cs="宋体"/>
          <w:b/>
          <w:bCs/>
          <w:color w:val="auto"/>
          <w:sz w:val="24"/>
          <w:highlight w:val="none"/>
          <w:lang w:val="en-US" w:eastAsia="zh-CN"/>
        </w:rPr>
        <w:t>1.对供应商的资格要求</w:t>
      </w:r>
      <w:bookmarkEnd w:id="10"/>
      <w:bookmarkEnd w:id="11"/>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497"/>
        <w:gridCol w:w="1707"/>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pStyle w:val="2"/>
              <w:rPr>
                <w:rFonts w:hint="eastAsia"/>
                <w:b/>
                <w:bCs/>
                <w:color w:val="auto"/>
                <w:sz w:val="24"/>
                <w:szCs w:val="24"/>
                <w:highlight w:val="none"/>
                <w:lang w:val="en-US" w:eastAsia="zh-CN"/>
              </w:rPr>
            </w:pPr>
            <w:r>
              <w:rPr>
                <w:rFonts w:hint="eastAsia"/>
                <w:b/>
                <w:bCs/>
                <w:color w:val="auto"/>
                <w:sz w:val="24"/>
                <w:szCs w:val="24"/>
                <w:highlight w:val="none"/>
                <w:lang w:val="en-US" w:eastAsia="zh-CN"/>
              </w:rPr>
              <w:t>限价均不含税。各单位总报价不得超总限价，其中各站报价不得超各站限价。</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总限价：3506961.44</w:t>
            </w:r>
            <w:r>
              <w:rPr>
                <w:rFonts w:hint="eastAsia" w:ascii="宋体" w:hAnsi="宋体" w:eastAsia="宋体" w:cs="宋体"/>
                <w:color w:val="auto"/>
                <w:sz w:val="24"/>
                <w:szCs w:val="24"/>
                <w:highlight w:val="none"/>
              </w:rPr>
              <w:t>元</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951电台宿舍锅炉房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102600.16</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2.</w:t>
            </w:r>
            <w:r>
              <w:rPr>
                <w:rFonts w:hint="eastAsia" w:ascii="宋体" w:hAnsi="宋体" w:eastAsia="宋体" w:cs="宋体"/>
                <w:color w:val="auto"/>
                <w:spacing w:val="-11"/>
                <w:sz w:val="24"/>
                <w:szCs w:val="24"/>
                <w:highlight w:val="none"/>
              </w:rPr>
              <w:t>汇翠庭院锅炉房站内改造</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54890.91</w:t>
            </w:r>
            <w:r>
              <w:rPr>
                <w:rFonts w:hint="eastAsia" w:ascii="宋体" w:hAnsi="宋体" w:eastAsia="宋体" w:cs="宋体"/>
                <w:color w:val="auto"/>
                <w:spacing w:val="-11"/>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志诚华府锅炉房站内改造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264761.21</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4.</w:t>
            </w:r>
            <w:r>
              <w:rPr>
                <w:rFonts w:hint="eastAsia" w:ascii="宋体" w:hAnsi="宋体" w:eastAsia="宋体" w:cs="宋体"/>
                <w:color w:val="auto"/>
                <w:spacing w:val="-11"/>
                <w:sz w:val="24"/>
                <w:szCs w:val="24"/>
                <w:highlight w:val="none"/>
              </w:rPr>
              <w:t>青少年宫锅炉房站内改造</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67474.39</w:t>
            </w:r>
            <w:r>
              <w:rPr>
                <w:rFonts w:hint="eastAsia" w:ascii="宋体" w:hAnsi="宋体" w:eastAsia="宋体" w:cs="宋体"/>
                <w:color w:val="auto"/>
                <w:spacing w:val="-11"/>
                <w:sz w:val="24"/>
                <w:szCs w:val="24"/>
                <w:highlight w:val="none"/>
                <w:lang w:val="en-US" w:eastAsia="zh-CN"/>
              </w:rPr>
              <w:t>元</w:t>
            </w:r>
          </w:p>
          <w:p>
            <w:pPr>
              <w:rPr>
                <w:rFonts w:hint="eastAsia" w:ascii="宋体" w:hAnsi="宋体" w:eastAsia="宋体" w:cs="宋体"/>
                <w:color w:val="auto"/>
                <w:spacing w:val="-11"/>
                <w:sz w:val="24"/>
                <w:szCs w:val="24"/>
                <w:highlight w:val="none"/>
              </w:rPr>
            </w:pPr>
            <w:r>
              <w:rPr>
                <w:rFonts w:hint="eastAsia" w:ascii="宋体" w:hAnsi="宋体" w:eastAsia="宋体" w:cs="宋体"/>
                <w:color w:val="auto"/>
                <w:spacing w:val="-11"/>
                <w:sz w:val="24"/>
                <w:szCs w:val="24"/>
                <w:highlight w:val="none"/>
                <w:lang w:val="en-US" w:eastAsia="zh-CN"/>
              </w:rPr>
              <w:t>5.</w:t>
            </w:r>
            <w:r>
              <w:rPr>
                <w:rFonts w:hint="eastAsia" w:ascii="宋体" w:hAnsi="宋体" w:eastAsia="宋体" w:cs="宋体"/>
                <w:color w:val="auto"/>
                <w:spacing w:val="-11"/>
                <w:sz w:val="24"/>
                <w:szCs w:val="24"/>
                <w:highlight w:val="none"/>
              </w:rPr>
              <w:t>百汇小区锅炉房站内改造</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1"/>
                <w:sz w:val="24"/>
                <w:szCs w:val="24"/>
                <w:highlight w:val="none"/>
              </w:rPr>
              <w:t>133005.6</w:t>
            </w:r>
            <w:r>
              <w:rPr>
                <w:rFonts w:hint="eastAsia" w:ascii="宋体" w:hAnsi="宋体" w:eastAsia="宋体" w:cs="宋体"/>
                <w:color w:val="auto"/>
                <w:spacing w:val="-11"/>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东安小区锅炉房站内改造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295711.62</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高和化工宿舍锅炉房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123370.83</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二十七军干休所锅炉房站内改造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15068.62</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此站一网无图纸无清单，后期根据工程量据实结算）</w:t>
            </w:r>
            <w:r>
              <w:rPr>
                <w:rFonts w:hint="eastAsia"/>
                <w:color w:val="auto"/>
                <w:sz w:val="24"/>
                <w:szCs w:val="24"/>
                <w:highlight w:val="none"/>
              </w:rPr>
              <w:t xml:space="preserve"> </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华源新村锅炉房站内改造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566724.12</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塔谈一区锅炉房站内改造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136581.52</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塔坛二区锅炉房站内改造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119081.59</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新燕春锅炉房站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353047.83</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此站一网无图纸，按清单报价，后期根据工程量据实结算）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北联干休所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259076.23</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此站站内无图纸无清单，后期根据工程量据实结算）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格调春天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412252.78</w:t>
            </w:r>
            <w:r>
              <w:rPr>
                <w:rFonts w:hint="eastAsia" w:ascii="宋体" w:hAnsi="宋体" w:eastAsia="宋体" w:cs="宋体"/>
                <w:color w:val="auto"/>
                <w:sz w:val="24"/>
                <w:szCs w:val="24"/>
                <w:highlight w:val="none"/>
                <w:lang w:val="en-US" w:eastAsia="zh-CN"/>
              </w:rPr>
              <w:t>元</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东风小区锅炉房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164407.59</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此站站内无图纸无清单，后期根据工程量据实结算）</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祥云国际改造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162638.12</w:t>
            </w:r>
            <w:r>
              <w:rPr>
                <w:rFonts w:hint="eastAsia" w:ascii="宋体" w:hAnsi="宋体" w:eastAsia="宋体" w:cs="宋体"/>
                <w:color w:val="auto"/>
                <w:sz w:val="24"/>
                <w:szCs w:val="24"/>
                <w:highlight w:val="none"/>
                <w:lang w:val="en-US" w:eastAsia="zh-CN"/>
              </w:rPr>
              <w:t>元</w:t>
            </w:r>
            <w:r>
              <w:rPr>
                <w:rFonts w:hint="eastAsia"/>
                <w:color w:val="auto"/>
                <w:sz w:val="24"/>
                <w:szCs w:val="24"/>
                <w:highlight w:val="none"/>
                <w:lang w:val="en-US" w:eastAsia="zh-CN"/>
              </w:rPr>
              <w:t>（</w:t>
            </w:r>
            <w:r>
              <w:rPr>
                <w:rFonts w:hint="eastAsia"/>
                <w:color w:val="auto"/>
                <w:sz w:val="24"/>
                <w:szCs w:val="24"/>
                <w:highlight w:val="none"/>
                <w:lang w:val="en-US" w:eastAsia="zh-CN"/>
              </w:rPr>
              <w:t>此站一网无图纸无清单，后期根据工程量据实结算）</w:t>
            </w:r>
          </w:p>
          <w:p>
            <w:pPr>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联邦名都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276268.32</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707"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4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包括总限价和分项限价</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2"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2"/>
        </w:numPr>
        <w:bidi w:val="0"/>
        <w:jc w:val="center"/>
        <w:rPr>
          <w:rFonts w:hint="eastAsia"/>
          <w:color w:val="auto"/>
          <w:sz w:val="36"/>
          <w:szCs w:val="36"/>
          <w:highlight w:val="none"/>
        </w:rPr>
      </w:pPr>
      <w:bookmarkStart w:id="13" w:name="_Toc12933"/>
      <w:r>
        <w:rPr>
          <w:rFonts w:hint="eastAsia"/>
          <w:color w:val="auto"/>
          <w:sz w:val="36"/>
          <w:szCs w:val="36"/>
          <w:highlight w:val="none"/>
        </w:rPr>
        <w:t>采购方法</w:t>
      </w:r>
      <w:bookmarkEnd w:id="12"/>
      <w:bookmarkEnd w:id="13"/>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4"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p>
          <w:p>
            <w:pPr>
              <w:rPr>
                <w:rFonts w:hint="eastAsia" w:ascii="宋体" w:hAnsi="宋体" w:cs="宋体"/>
                <w:color w:val="auto"/>
                <w:sz w:val="24"/>
                <w:highlight w:val="none"/>
              </w:rPr>
            </w:pPr>
            <w:r>
              <w:rPr>
                <w:rFonts w:hint="eastAsia" w:asciiTheme="minorEastAsia" w:hAnsiTheme="minorEastAsia" w:cstheme="minorEastAsia"/>
                <w:b/>
                <w:bCs/>
                <w:color w:val="auto"/>
                <w:kern w:val="0"/>
                <w:sz w:val="28"/>
                <w:szCs w:val="28"/>
                <w:highlight w:val="none"/>
                <w:lang w:val="en-US" w:eastAsia="zh-CN" w:bidi="ar"/>
              </w:rPr>
              <w:t>注：所有报价清单应逐页加盖供应商单位公章，未逐页加盖响应文件按无效处理。</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4"/>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5"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5"/>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r>
              <w:rPr>
                <w:rFonts w:hint="eastAsia" w:ascii="宋体" w:hAnsi="宋体" w:cs="宋体"/>
                <w:color w:val="auto"/>
                <w:kern w:val="0"/>
                <w:sz w:val="21"/>
                <w:szCs w:val="21"/>
                <w:highlight w:val="none"/>
                <w:lang w:val="en-US" w:eastAsia="zh-CN" w:bidi="ar"/>
              </w:rPr>
              <w:t>及签字盖章</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不含税报价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08</w:t>
            </w:r>
            <w:r>
              <w:rPr>
                <w:rFonts w:hint="eastAsia" w:asciiTheme="minorEastAsia" w:hAnsiTheme="minorEastAsia" w:eastAsiaTheme="minorEastAsia" w:cstheme="minorEastAsia"/>
                <w:color w:val="auto"/>
                <w:kern w:val="0"/>
                <w:sz w:val="21"/>
                <w:szCs w:val="21"/>
                <w:highlight w:val="none"/>
              </w:rPr>
              <w:t>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6"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6"/>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某项目（桥西区）劳务分包</w:t>
      </w:r>
    </w:p>
    <w:p>
      <w:pPr>
        <w:rPr>
          <w:b/>
          <w:bCs/>
          <w:color w:val="auto"/>
          <w:sz w:val="72"/>
          <w:szCs w:val="72"/>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rPr>
          <w:color w:val="auto"/>
          <w:highlight w:val="none"/>
        </w:rPr>
      </w:pPr>
    </w:p>
    <w:p>
      <w:pPr>
        <w:pStyle w:val="12"/>
        <w:rPr>
          <w:color w:val="auto"/>
          <w:highlight w:val="none"/>
        </w:rPr>
      </w:pPr>
    </w:p>
    <w:p>
      <w:pPr>
        <w:pStyle w:val="12"/>
        <w:rPr>
          <w:color w:val="auto"/>
          <w:highlight w:val="none"/>
        </w:rPr>
      </w:pPr>
    </w:p>
    <w:p>
      <w:pPr>
        <w:rPr>
          <w:color w:val="auto"/>
          <w:highlight w:val="none"/>
        </w:rPr>
      </w:pPr>
    </w:p>
    <w:p>
      <w:pPr>
        <w:pStyle w:val="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rPr>
          <w:rFonts w:hint="eastAsia"/>
          <w:color w:val="auto"/>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keepNext w:val="0"/>
        <w:keepLines w:val="0"/>
        <w:pageBreakBefore w:val="0"/>
        <w:widowControl/>
        <w:kinsoku/>
        <w:wordWrap/>
        <w:overflowPunct/>
        <w:topLinePunct w:val="0"/>
        <w:bidi w:val="0"/>
        <w:snapToGrid/>
        <w:spacing w:before="100" w:beforeAutospacing="1" w:after="100" w:afterAutospacing="1" w:line="420" w:lineRule="exact"/>
        <w:jc w:val="center"/>
        <w:textAlignment w:val="auto"/>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topLinePunct w:val="0"/>
        <w:autoSpaceDE w:val="0"/>
        <w:autoSpaceDN w:val="0"/>
        <w:bidi w:val="0"/>
        <w:adjustRightInd w:val="0"/>
        <w:snapToGrid/>
        <w:spacing w:line="50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p>
    <w:p>
      <w:pPr>
        <w:keepNext w:val="0"/>
        <w:keepLines w:val="0"/>
        <w:pageBreakBefore w:val="0"/>
        <w:widowControl/>
        <w:kinsoku/>
        <w:wordWrap/>
        <w:overflowPunct/>
        <w:topLinePunct w:val="0"/>
        <w:autoSpaceDE w:val="0"/>
        <w:autoSpaceDN w:val="0"/>
        <w:bidi w:val="0"/>
        <w:adjustRightInd w:val="0"/>
        <w:spacing w:line="50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某项目（桥西区）劳务分包</w:t>
      </w: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topLinePunct w:val="0"/>
        <w:bidi w:val="0"/>
        <w:adjustRightInd w:val="0"/>
        <w:snapToGrid w:val="0"/>
        <w:spacing w:line="50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kern w:val="0"/>
          <w:sz w:val="24"/>
          <w:highlight w:val="none"/>
          <w:u w:val="single"/>
          <w:lang w:val="en-US" w:eastAsia="zh-CN"/>
        </w:rPr>
        <w:t xml:space="preserve"> </w:t>
      </w:r>
      <w:r>
        <w:rPr>
          <w:rFonts w:hint="eastAsia" w:ascii="宋体" w:hAnsi="宋体"/>
          <w:color w:val="auto"/>
          <w:sz w:val="24"/>
          <w:highlight w:val="none"/>
          <w:u w:val="single"/>
          <w:lang w:eastAsia="zh-CN"/>
        </w:rPr>
        <w:t>某项目（桥西区）劳务分包</w:t>
      </w:r>
      <w:r>
        <w:rPr>
          <w:rFonts w:hint="eastAsia" w:ascii="宋体" w:hAnsi="宋体"/>
          <w:color w:val="auto"/>
          <w:sz w:val="24"/>
          <w:highlight w:val="none"/>
          <w:u w:val="single"/>
          <w:lang w:val="en-US" w:eastAsia="zh-CN"/>
        </w:rPr>
        <w:t xml:space="preserve"> </w:t>
      </w:r>
      <w:r>
        <w:rPr>
          <w:rFonts w:ascii="宋体" w:hAnsi="宋体"/>
          <w:color w:val="auto"/>
          <w:kern w:val="0"/>
          <w:sz w:val="24"/>
          <w:highlight w:val="none"/>
        </w:rPr>
        <w:t>工作内容。</w:t>
      </w:r>
    </w:p>
    <w:p>
      <w:pPr>
        <w:keepNext w:val="0"/>
        <w:keepLines w:val="0"/>
        <w:pageBreakBefore w:val="0"/>
        <w:widowControl/>
        <w:kinsoku/>
        <w:wordWrap/>
        <w:overflowPunct/>
        <w:topLinePunct w:val="0"/>
        <w:bidi w:val="0"/>
        <w:adjustRightInd w:val="0"/>
        <w:snapToGrid w:val="0"/>
        <w:spacing w:line="500" w:lineRule="exact"/>
        <w:ind w:right="28" w:firstLine="631" w:firstLineChars="262"/>
        <w:jc w:val="left"/>
        <w:textAlignment w:val="auto"/>
        <w:rPr>
          <w:rFonts w:hint="eastAsia" w:ascii="宋体" w:hAnsi="宋体"/>
          <w:color w:val="auto"/>
          <w:kern w:val="0"/>
          <w:sz w:val="24"/>
          <w:highlight w:val="none"/>
          <w:lang w:val="en-US" w:eastAsia="zh-CN"/>
        </w:rPr>
      </w:pPr>
      <w:r>
        <w:rPr>
          <w:rFonts w:hint="eastAsia" w:ascii="宋体" w:hAnsi="宋体"/>
          <w:b/>
          <w:bCs/>
          <w:color w:val="auto"/>
          <w:kern w:val="0"/>
          <w:sz w:val="24"/>
          <w:highlight w:val="none"/>
          <w:lang w:val="en-US" w:eastAsia="zh-CN"/>
        </w:rPr>
        <w:t>投标报价为不含税报价。</w:t>
      </w: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r>
        <w:rPr>
          <w:rFonts w:hint="eastAsia" w:ascii="宋体" w:hAnsi="宋体"/>
          <w:color w:val="auto"/>
          <w:kern w:val="0"/>
          <w:sz w:val="24"/>
          <w:highlight w:val="none"/>
          <w:lang w:val="en-US" w:eastAsia="zh-CN"/>
        </w:rPr>
        <w:t>其中各站报价如下：</w:t>
      </w:r>
    </w:p>
    <w:tbl>
      <w:tblPr>
        <w:tblStyle w:val="22"/>
        <w:tblW w:w="8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197"/>
        <w:gridCol w:w="3277"/>
        <w:gridCol w:w="2437"/>
        <w:gridCol w:w="1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行政区域</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换热站名称</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不含税报价（元）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9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桥西区</w:t>
            </w: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951电台宿舍锅炉房</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汇翠庭院锅炉房站内改造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志诚华府锅炉房站内改造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青少年宫锅炉房站内改造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百汇小区锅炉房站内改造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东安小区锅炉房站内改造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sz w:val="20"/>
                <w:szCs w:val="20"/>
                <w:highlight w:val="none"/>
                <w:u w:val="none"/>
                <w:lang w:val="en-US" w:eastAsia="zh-CN"/>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7</w:t>
            </w:r>
          </w:p>
        </w:tc>
        <w:tc>
          <w:tcPr>
            <w:tcW w:w="119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高和化工宿舍锅炉房</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二十七军干休所锅炉房站内改造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华源新村锅炉房站内改造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0</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塔谈一区锅炉房站内改造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1</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塔坛二区锅炉房站内改造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12</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新燕春锅炉房站</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13</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北联干休所</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14</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格调春天</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15</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东风小区锅炉房</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16</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祥云国际改造</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17</w:t>
            </w:r>
          </w:p>
        </w:tc>
        <w:tc>
          <w:tcPr>
            <w:tcW w:w="1197"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highlight w:val="none"/>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center"/>
              <w:rPr>
                <w:rFonts w:hint="eastAsia" w:ascii="宋体" w:hAnsi="宋体" w:cs="宋体"/>
                <w:i w:val="0"/>
                <w:iCs w:val="0"/>
                <w:color w:val="auto"/>
                <w:sz w:val="20"/>
                <w:szCs w:val="20"/>
                <w:highlight w:val="none"/>
                <w:u w:val="none"/>
                <w:lang w:val="en-US" w:eastAsia="zh-CN"/>
              </w:rPr>
            </w:pPr>
            <w:r>
              <w:rPr>
                <w:rFonts w:hint="default" w:ascii="宋体" w:hAnsi="宋体" w:cs="宋体"/>
                <w:i w:val="0"/>
                <w:iCs w:val="0"/>
                <w:color w:val="auto"/>
                <w:sz w:val="20"/>
                <w:szCs w:val="20"/>
                <w:highlight w:val="none"/>
                <w:u w:val="none"/>
                <w:lang w:val="en-US" w:eastAsia="zh-CN"/>
              </w:rPr>
              <w:t>联邦名都</w:t>
            </w:r>
          </w:p>
        </w:tc>
        <w:tc>
          <w:tcPr>
            <w:tcW w:w="2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exac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kern w:val="0"/>
                <w:sz w:val="20"/>
                <w:szCs w:val="20"/>
                <w:highlight w:val="none"/>
                <w:u w:val="none"/>
                <w:lang w:val="en-US" w:eastAsia="zh-CN" w:bidi="ar"/>
              </w:rPr>
            </w:pPr>
          </w:p>
        </w:tc>
        <w:tc>
          <w:tcPr>
            <w:tcW w:w="44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合计（元）</w:t>
            </w:r>
          </w:p>
        </w:tc>
        <w:tc>
          <w:tcPr>
            <w:tcW w:w="2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auto"/>
                <w:sz w:val="20"/>
                <w:szCs w:val="20"/>
                <w:highlight w:val="none"/>
                <w:u w:val="none"/>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bl>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topLinePunct w:val="0"/>
        <w:autoSpaceDE/>
        <w:autoSpaceDN/>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pPr>
        <w:keepNext w:val="0"/>
        <w:keepLines w:val="0"/>
        <w:pageBreakBefore w:val="0"/>
        <w:kinsoku/>
        <w:wordWrap/>
        <w:overflowPunct/>
        <w:topLinePunct/>
        <w:autoSpaceDE/>
        <w:autoSpaceDN/>
        <w:bidi w:val="0"/>
        <w:spacing w:line="600" w:lineRule="exact"/>
        <w:ind w:right="-307" w:rightChars="-146" w:firstLine="3360" w:firstLineChars="1400"/>
        <w:textAlignment w:val="auto"/>
        <w:rPr>
          <w:rFonts w:hint="eastAsia" w:ascii="宋体" w:hAnsi="宋体"/>
          <w:color w:val="auto"/>
          <w:kern w:val="0"/>
          <w:sz w:val="24"/>
          <w:highlight w:val="none"/>
          <w:lang w:val="en-US" w:eastAsia="zh-CN"/>
        </w:rPr>
      </w:pPr>
    </w:p>
    <w:p>
      <w:pPr>
        <w:keepNext w:val="0"/>
        <w:keepLines w:val="0"/>
        <w:pageBreakBefore w:val="0"/>
        <w:kinsoku/>
        <w:wordWrap/>
        <w:overflowPunct/>
        <w:topLinePunct/>
        <w:autoSpaceDE/>
        <w:autoSpaceDN/>
        <w:bidi w:val="0"/>
        <w:spacing w:line="600" w:lineRule="exact"/>
        <w:ind w:right="-307" w:rightChars="-146" w:firstLine="3840" w:firstLineChars="1600"/>
        <w:textAlignment w:val="auto"/>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autoSpaceDE/>
        <w:autoSpaceDN/>
        <w:bidi w:val="0"/>
        <w:adjustRightInd w:val="0"/>
        <w:snapToGrid w:val="0"/>
        <w:spacing w:line="60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autoSpaceDE/>
        <w:autoSpaceDN/>
        <w:bidi w:val="0"/>
        <w:adjustRightInd w:val="0"/>
        <w:snapToGrid w:val="0"/>
        <w:spacing w:line="600" w:lineRule="exact"/>
        <w:textAlignment w:val="auto"/>
        <w:rPr>
          <w:color w:val="auto"/>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6"/>
        <w:numPr>
          <w:ilvl w:val="0"/>
          <w:numId w:val="0"/>
        </w:numPr>
        <w:jc w:val="center"/>
        <w:rPr>
          <w:rFonts w:hint="eastAsia" w:cs="Times New Roman"/>
          <w:b/>
          <w:bCs w:val="0"/>
          <w:color w:val="auto"/>
          <w:kern w:val="0"/>
          <w:sz w:val="32"/>
          <w:szCs w:val="32"/>
          <w:highlight w:val="none"/>
          <w:lang w:val="en-US" w:eastAsia="zh-CN" w:bidi="ar"/>
        </w:rPr>
      </w:pPr>
      <w:bookmarkStart w:id="17" w:name="_Toc7387"/>
      <w:bookmarkStart w:id="18" w:name="_Toc10115"/>
      <w:bookmarkStart w:id="19" w:name="_Toc21847"/>
      <w:bookmarkStart w:id="20" w:name="_Toc1445"/>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pStyle w:val="6"/>
        <w:numPr>
          <w:ilvl w:val="0"/>
          <w:numId w:val="0"/>
        </w:numPr>
        <w:jc w:val="center"/>
        <w:rPr>
          <w:rFonts w:hint="eastAsia" w:cs="Times New Roman"/>
          <w:b/>
          <w:bCs w:val="0"/>
          <w:color w:val="auto"/>
          <w:kern w:val="0"/>
          <w:sz w:val="32"/>
          <w:szCs w:val="32"/>
          <w:highlight w:val="none"/>
          <w:lang w:val="en-US" w:eastAsia="zh-CN" w:bidi="ar"/>
        </w:rPr>
      </w:pPr>
    </w:p>
    <w:p>
      <w:pPr>
        <w:rPr>
          <w:rFonts w:hint="eastAsia" w:cs="Times New Roman"/>
          <w:b/>
          <w:bCs w:val="0"/>
          <w:color w:val="auto"/>
          <w:kern w:val="0"/>
          <w:sz w:val="32"/>
          <w:szCs w:val="32"/>
          <w:highlight w:val="none"/>
          <w:lang w:val="en-US" w:eastAsia="zh-CN" w:bidi="ar"/>
        </w:rPr>
      </w:pPr>
    </w:p>
    <w:p>
      <w:pPr>
        <w:pStyle w:val="2"/>
        <w:rPr>
          <w:rFonts w:hint="eastAsia"/>
          <w:color w:val="auto"/>
          <w:highlight w:val="none"/>
          <w:lang w:val="en-US" w:eastAsia="zh-CN"/>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7"/>
      <w:bookmarkEnd w:id="18"/>
      <w:bookmarkEnd w:id="19"/>
      <w:bookmarkEnd w:id="20"/>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1" w:name="_Toc2164"/>
      <w:bookmarkStart w:id="22" w:name="_Toc21198"/>
      <w:bookmarkStart w:id="23" w:name="_Toc8962"/>
      <w:bookmarkStart w:id="24" w:name="_Toc30767"/>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1"/>
      <w:bookmarkEnd w:id="22"/>
      <w:bookmarkEnd w:id="23"/>
      <w:bookmarkEnd w:id="24"/>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5" w:name="_Toc21741"/>
      <w:bookmarkStart w:id="26" w:name="_Toc19454"/>
      <w:bookmarkStart w:id="27" w:name="_Toc13359"/>
      <w:bookmarkStart w:id="28" w:name="_Toc13546"/>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5"/>
      <w:bookmarkEnd w:id="26"/>
      <w:bookmarkEnd w:id="27"/>
      <w:bookmarkEnd w:id="28"/>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9" w:name="_Toc21491"/>
      <w:bookmarkStart w:id="30" w:name="_Toc21480"/>
      <w:bookmarkStart w:id="31" w:name="_Toc14486"/>
      <w:bookmarkStart w:id="32" w:name="_Toc4606"/>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29"/>
      <w:bookmarkEnd w:id="30"/>
      <w:bookmarkEnd w:id="31"/>
      <w:bookmarkEnd w:id="3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3" w:name="_Toc29609"/>
      <w:bookmarkStart w:id="34" w:name="_Toc3450"/>
      <w:bookmarkStart w:id="35" w:name="_Toc149"/>
      <w:bookmarkStart w:id="36" w:name="_Toc676"/>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3"/>
      <w:bookmarkEnd w:id="34"/>
      <w:bookmarkEnd w:id="35"/>
      <w:bookmarkEnd w:id="36"/>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7" w:name="_Toc20831"/>
      <w:bookmarkStart w:id="38" w:name="_Toc5118"/>
      <w:r>
        <w:rPr>
          <w:rFonts w:hint="eastAsia" w:ascii="宋体" w:hAnsi="宋体" w:eastAsia="宋体" w:cs="Times New Roman"/>
          <w:b/>
          <w:bCs w:val="0"/>
          <w:color w:val="auto"/>
          <w:kern w:val="0"/>
          <w:sz w:val="32"/>
          <w:szCs w:val="32"/>
          <w:highlight w:val="none"/>
          <w:lang w:val="en-US" w:eastAsia="zh-CN" w:bidi="ar"/>
        </w:rPr>
        <w:t>1.法定代表人身份证明</w:t>
      </w:r>
      <w:bookmarkEnd w:id="37"/>
      <w:bookmarkEnd w:id="38"/>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39" w:name="_Toc27897"/>
      <w:bookmarkStart w:id="40" w:name="_Toc352691662"/>
      <w:bookmarkStart w:id="41"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39"/>
      <w:bookmarkEnd w:id="40"/>
      <w:bookmarkEnd w:id="41"/>
      <w:r>
        <w:rPr>
          <w:rFonts w:hint="eastAsia" w:ascii="宋体" w:hAnsi="宋体" w:eastAsia="宋体" w:cs="宋体"/>
          <w:bCs/>
          <w:color w:val="auto"/>
          <w:sz w:val="24"/>
          <w:highlight w:val="none"/>
        </w:rPr>
        <w:t>龄</w:t>
      </w:r>
      <w:bookmarkStart w:id="42" w:name="_Toc384308377"/>
      <w:bookmarkStart w:id="43" w:name="_Toc361508754"/>
      <w:bookmarkStart w:id="44" w:name="_Toc247514248"/>
      <w:bookmarkStart w:id="45" w:name="_Toc144974858"/>
      <w:bookmarkStart w:id="46" w:name="_Toc300835211"/>
      <w:bookmarkStart w:id="47" w:name="_Toc15573"/>
      <w:bookmarkStart w:id="48" w:name="_Toc352691663"/>
      <w:bookmarkStart w:id="49" w:name="_Toc369531699"/>
      <w:bookmarkStart w:id="50" w:name="_Toc152042578"/>
      <w:bookmarkStart w:id="51" w:name="_Toc247527829"/>
      <w:bookmarkStart w:id="52" w:name="_Toc152045789"/>
      <w:r>
        <w:rPr>
          <w:rFonts w:hint="eastAsia" w:ascii="宋体" w:hAnsi="宋体" w:eastAsia="宋体" w:cs="宋体"/>
          <w:bCs/>
          <w:color w:val="auto"/>
          <w:sz w:val="24"/>
          <w:highlight w:val="none"/>
        </w:rPr>
        <w:t>：</w:t>
      </w:r>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3" w:name="_Toc18230"/>
      <w:bookmarkStart w:id="54" w:name="_Toc396236151"/>
      <w:bookmarkStart w:id="55" w:name="_Toc7142"/>
      <w:bookmarkStart w:id="56" w:name="_Toc13257"/>
      <w:bookmarkStart w:id="57" w:name="_Toc12389"/>
      <w:bookmarkStart w:id="58" w:name="_Toc16317"/>
      <w:bookmarkStart w:id="59" w:name="_Toc2962"/>
      <w:bookmarkStart w:id="60" w:name="_Toc27295"/>
      <w:bookmarkStart w:id="61" w:name="_Toc396236625"/>
      <w:bookmarkStart w:id="62" w:name="_Toc360630804"/>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3" w:name="_Toc17265"/>
      <w:bookmarkStart w:id="64" w:name="_Toc1346"/>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3"/>
      <w:bookmarkEnd w:id="54"/>
      <w:bookmarkEnd w:id="55"/>
      <w:bookmarkEnd w:id="56"/>
      <w:bookmarkEnd w:id="57"/>
      <w:bookmarkEnd w:id="58"/>
      <w:bookmarkEnd w:id="59"/>
      <w:bookmarkEnd w:id="60"/>
      <w:bookmarkEnd w:id="61"/>
      <w:bookmarkEnd w:id="62"/>
      <w:bookmarkEnd w:id="63"/>
      <w:bookmarkEnd w:id="64"/>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某项目（桥西区）劳务分包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5" w:name="_Toc5105"/>
      <w:bookmarkStart w:id="66" w:name="_Toc28350"/>
      <w:bookmarkStart w:id="67" w:name="_Toc18023"/>
      <w:bookmarkStart w:id="68" w:name="_Toc30751"/>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5"/>
      <w:bookmarkEnd w:id="66"/>
      <w:bookmarkEnd w:id="67"/>
      <w:bookmarkEnd w:id="68"/>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9" w:name="_Toc24831"/>
      <w:bookmarkStart w:id="70" w:name="_Toc26767"/>
      <w:bookmarkStart w:id="71" w:name="_Toc2339"/>
      <w:bookmarkStart w:id="72" w:name="_Toc15030"/>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69"/>
      <w:bookmarkEnd w:id="70"/>
      <w:bookmarkEnd w:id="71"/>
      <w:bookmarkEnd w:id="7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w:t>
      </w:r>
      <w:r>
        <w:rPr>
          <w:rFonts w:hint="eastAsia" w:ascii="宋体" w:hAnsi="宋体"/>
          <w:color w:val="auto"/>
          <w:highlight w:val="none"/>
          <w:lang w:val="en-US" w:eastAsia="zh-CN"/>
        </w:rPr>
        <w:t>08</w:t>
      </w:r>
      <w:r>
        <w:rPr>
          <w:rFonts w:hint="eastAsia" w:ascii="宋体" w:hAnsi="宋体"/>
          <w:color w:val="auto"/>
          <w:highlight w:val="none"/>
        </w:rPr>
        <w:t>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3" w:name="_Toc8006"/>
      <w:bookmarkStart w:id="74" w:name="_Toc3109"/>
      <w:bookmarkStart w:id="75" w:name="_Toc17330"/>
      <w:bookmarkStart w:id="76" w:name="_Toc11194"/>
      <w:bookmarkStart w:id="77"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3"/>
      <w:bookmarkEnd w:id="74"/>
      <w:bookmarkEnd w:id="75"/>
      <w:bookmarkEnd w:id="76"/>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某项目（桥西区）劳务分包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w:t>
      </w:r>
      <w:r>
        <w:rPr>
          <w:rFonts w:hint="eastAsia" w:asciiTheme="minorEastAsia" w:hAnsiTheme="minorEastAsia" w:cstheme="minorEastAsia"/>
          <w:b/>
          <w:bCs/>
          <w:color w:val="auto"/>
          <w:sz w:val="24"/>
          <w:highlight w:val="none"/>
        </w:rPr>
        <w:t>按月递交农民工考勤、工资表及发放证明。</w:t>
      </w:r>
      <w:r>
        <w:rPr>
          <w:rFonts w:hint="eastAsia" w:asciiTheme="minorEastAsia" w:hAnsiTheme="minorEastAsia" w:cstheme="minorEastAsia"/>
          <w:color w:val="auto"/>
          <w:sz w:val="24"/>
          <w:highlight w:val="none"/>
        </w:rPr>
        <w:t>如因农民工工资发放、处置不力，导致农民工不同形式的上访、闹访、集访等事件发生，由此造成的一切不良后果和损失由我公司(或个人)承担。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3"/>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8" w:name="_Toc19356"/>
      <w:bookmarkStart w:id="79" w:name="_Toc23278"/>
      <w:bookmarkStart w:id="80" w:name="_Toc2867"/>
      <w:bookmarkStart w:id="81" w:name="_Toc9901"/>
      <w:r>
        <w:rPr>
          <w:rFonts w:hint="eastAsia" w:ascii="宋体" w:hAnsi="宋体" w:eastAsia="宋体" w:cs="Times New Roman"/>
          <w:b/>
          <w:bCs w:val="0"/>
          <w:color w:val="auto"/>
          <w:kern w:val="0"/>
          <w:sz w:val="32"/>
          <w:szCs w:val="32"/>
          <w:highlight w:val="none"/>
          <w:lang w:val="en-US" w:eastAsia="zh-CN" w:bidi="ar"/>
        </w:rPr>
        <w:t>劳务清单报价表</w:t>
      </w:r>
      <w:bookmarkEnd w:id="78"/>
      <w:bookmarkEnd w:id="79"/>
      <w:bookmarkEnd w:id="80"/>
      <w:bookmarkEnd w:id="81"/>
    </w:p>
    <w:p>
      <w:pPr>
        <w:widowControl w:val="0"/>
        <w:numPr>
          <w:ilvl w:val="0"/>
          <w:numId w:val="0"/>
        </w:numPr>
        <w:jc w:val="both"/>
        <w:rPr>
          <w:rFonts w:hint="eastAsia"/>
          <w:color w:val="auto"/>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b/>
          <w:bCs/>
          <w:color w:val="auto"/>
          <w:sz w:val="24"/>
          <w:szCs w:val="24"/>
          <w:highlight w:val="none"/>
          <w:lang w:val="en-US" w:eastAsia="zh-CN"/>
        </w:rPr>
      </w:pPr>
      <w:r>
        <w:rPr>
          <w:rFonts w:hint="eastAsia" w:ascii="Calibri" w:hAnsi="Calibri" w:cs="Times New Roman"/>
          <w:b/>
          <w:bCs/>
          <w:color w:val="auto"/>
          <w:kern w:val="2"/>
          <w:sz w:val="24"/>
          <w:szCs w:val="24"/>
          <w:highlight w:val="none"/>
          <w:lang w:val="en-US" w:eastAsia="zh-CN" w:bidi="ar-SA"/>
        </w:rPr>
        <w:t>一</w:t>
      </w:r>
      <w:r>
        <w:rPr>
          <w:rFonts w:hint="eastAsia" w:ascii="Calibri" w:hAnsi="Calibri" w:eastAsia="宋体" w:cs="Times New Roman"/>
          <w:b/>
          <w:bCs/>
          <w:color w:val="auto"/>
          <w:kern w:val="2"/>
          <w:sz w:val="24"/>
          <w:szCs w:val="24"/>
          <w:highlight w:val="none"/>
          <w:lang w:val="en-US" w:eastAsia="zh-CN" w:bidi="ar-SA"/>
        </w:rPr>
        <w:t>、劳务报价说明</w:t>
      </w:r>
      <w:r>
        <w:rPr>
          <w:rFonts w:hint="eastAsia" w:ascii="Calibri" w:hAnsi="Calibri" w:cs="Times New Roman"/>
          <w:b/>
          <w:bCs/>
          <w:color w:val="auto"/>
          <w:kern w:val="2"/>
          <w:sz w:val="24"/>
          <w:szCs w:val="24"/>
          <w:highlight w:val="none"/>
          <w:lang w:val="en-US" w:eastAsia="zh-CN" w:bidi="ar-SA"/>
        </w:rPr>
        <w:t>，</w:t>
      </w:r>
      <w:r>
        <w:rPr>
          <w:rFonts w:hint="eastAsia"/>
          <w:b/>
          <w:bCs/>
          <w:color w:val="auto"/>
          <w:sz w:val="24"/>
          <w:szCs w:val="24"/>
          <w:highlight w:val="none"/>
          <w:lang w:val="en-US" w:eastAsia="zh-CN"/>
        </w:rPr>
        <w:t>本次报价包含以下内容：</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安全文明施工费，安全文明施工费取费应不低于工程费用的2.5%，安全文明施工费包含灭火器、土工布、降尘抑尘措施、雾炮车、道路冲洗、围挡、临时通行时用的铺路钢板、警示标志、标牌、焊烟收集器及个人防护用品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本次报价包含可能的协调费、处罚（包含但不限于安全处罚和环保处罚等）、电费（包含发电机）、住宿费、</w:t>
      </w:r>
      <w:r>
        <w:rPr>
          <w:rFonts w:hint="eastAsia" w:ascii="宋体" w:hAnsi="宋体" w:eastAsia="宋体" w:cs="宋体"/>
          <w:color w:val="auto"/>
          <w:sz w:val="24"/>
          <w:szCs w:val="24"/>
          <w:highlight w:val="none"/>
          <w:lang w:val="en-US" w:eastAsia="zh-CN"/>
        </w:rPr>
        <w:t>工人保险费、管材到场卸车、倒运、退货等涉及人工机械费用等一系列费用；</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本次报价含小型设备就位，大温差机组、空气源热泵、板式换热器配合设备厂家就位；</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本次报价时单项报价包含工具、辅材等；</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室外直埋管道安装含下管机械、对口、焊接、冲洗试压；</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管材、管件、阀门、补偿器、设备（大温差机组、水泵、换热器、除污器、水箱、软水）、支架用型钢和钢管、铸铁井盖由甲方提供；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基础钢筋、混凝土、砌块（砖）、模板、预埋钢板、法兰、螺栓、钢垫、聚四氟乙烯垫、沥青混凝土、便道砖等所需材料由劳务单位提供；</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含室外阀门井（含材料），井室保修二年；</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报价中不含保温补口、站内保温；</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本次报价为固定单价，工程量据实结算；</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如无特殊情况，领取的材料超过实际用量未退回的，按照甲方采买价格从劳务费中扣除；</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480" w:firstLineChars="200"/>
        <w:textAlignment w:val="auto"/>
        <w:rPr>
          <w:rFonts w:hint="eastAsia"/>
          <w:color w:val="auto"/>
          <w:highlight w:val="none"/>
          <w:lang w:val="en-US" w:eastAsia="zh-CN"/>
        </w:rPr>
      </w:pPr>
      <w:r>
        <w:rPr>
          <w:rFonts w:hint="eastAsia" w:ascii="宋体" w:hAnsi="宋体" w:eastAsia="宋体" w:cs="宋体"/>
          <w:b w:val="0"/>
          <w:bCs w:val="0"/>
          <w:color w:val="auto"/>
          <w:sz w:val="24"/>
          <w:szCs w:val="24"/>
          <w:highlight w:val="none"/>
          <w:lang w:val="en-US" w:eastAsia="zh-CN"/>
        </w:rPr>
        <w:t>按图纸要求进行焊口检测，首次检测合格率要求达到95%以上，如达不到，按返修口60元/片处罚，并且二次检测费用由劳务承担；合格率低于90%的劳务队伍予以清退。</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cstheme="minorEastAsia"/>
          <w:color w:val="auto"/>
          <w:kern w:val="0"/>
          <w:sz w:val="24"/>
          <w:highlight w:val="none"/>
          <w:lang w:eastAsia="zh-CN" w:bidi="ar"/>
        </w:rPr>
      </w:pPr>
      <w:r>
        <w:rPr>
          <w:rFonts w:hint="eastAsia" w:ascii="Calibri" w:hAnsi="Calibri" w:eastAsia="宋体" w:cs="Times New Roman"/>
          <w:b/>
          <w:bCs/>
          <w:color w:val="auto"/>
          <w:kern w:val="2"/>
          <w:sz w:val="24"/>
          <w:szCs w:val="24"/>
          <w:highlight w:val="none"/>
          <w:lang w:val="en-US" w:eastAsia="zh-CN" w:bidi="ar-SA"/>
        </w:rPr>
        <w:t>二、劳务清单报价表（见附件）</w:t>
      </w:r>
    </w:p>
    <w:p>
      <w:pPr>
        <w:rPr>
          <w:rFonts w:hint="default"/>
          <w:b/>
          <w:bCs/>
          <w:color w:val="auto"/>
          <w:sz w:val="24"/>
          <w:szCs w:val="32"/>
          <w:highlight w:val="none"/>
          <w:lang w:val="en-US" w:eastAsia="zh-CN"/>
        </w:rPr>
      </w:pPr>
      <w:bookmarkStart w:id="82" w:name="OLE_LINK4"/>
      <w:r>
        <w:rPr>
          <w:rFonts w:hint="eastAsia" w:asciiTheme="minorEastAsia" w:hAnsiTheme="minorEastAsia" w:cstheme="minorEastAsia"/>
          <w:b/>
          <w:bCs/>
          <w:color w:val="auto"/>
          <w:kern w:val="0"/>
          <w:sz w:val="32"/>
          <w:szCs w:val="32"/>
          <w:highlight w:val="none"/>
          <w:lang w:val="en-US" w:eastAsia="zh-CN" w:bidi="ar"/>
        </w:rPr>
        <w:t>注：所有报价清单应逐页加盖供应商单位公章，未逐页加盖响应文件按无效处理。</w:t>
      </w:r>
    </w:p>
    <w:bookmarkEnd w:id="82"/>
    <w:p>
      <w:pPr>
        <w:rPr>
          <w:rFonts w:hint="eastAsia" w:asciiTheme="minorEastAsia" w:hAnsiTheme="minorEastAsia" w:cstheme="minorEastAsia"/>
          <w:color w:val="auto"/>
          <w:kern w:val="0"/>
          <w:sz w:val="24"/>
          <w:highlight w:val="none"/>
          <w:lang w:bidi="ar"/>
        </w:rPr>
      </w:pPr>
    </w:p>
    <w:bookmarkEnd w:id="77"/>
    <w:p>
      <w:pPr>
        <w:pStyle w:val="6"/>
        <w:numPr>
          <w:ilvl w:val="0"/>
          <w:numId w:val="5"/>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附表</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7213"/>
    <w:multiLevelType w:val="singleLevel"/>
    <w:tmpl w:val="A7097213"/>
    <w:lvl w:ilvl="0" w:tentative="0">
      <w:start w:val="10"/>
      <w:numFmt w:val="chineseCounting"/>
      <w:suff w:val="nothing"/>
      <w:lvlText w:val="%1、"/>
      <w:lvlJc w:val="left"/>
      <w:rPr>
        <w:rFonts w:hint="eastAsia"/>
      </w:rPr>
    </w:lvl>
  </w:abstractNum>
  <w:abstractNum w:abstractNumId="1">
    <w:nsid w:val="B3D8AB0C"/>
    <w:multiLevelType w:val="singleLevel"/>
    <w:tmpl w:val="B3D8AB0C"/>
    <w:lvl w:ilvl="0" w:tentative="0">
      <w:start w:val="1"/>
      <w:numFmt w:val="decimal"/>
      <w:suff w:val="nothing"/>
      <w:lvlText w:val="%1、"/>
      <w:lvlJc w:val="left"/>
    </w:lvl>
  </w:abstractNum>
  <w:abstractNum w:abstractNumId="2">
    <w:nsid w:val="C50DA0FB"/>
    <w:multiLevelType w:val="singleLevel"/>
    <w:tmpl w:val="C50DA0FB"/>
    <w:lvl w:ilvl="0" w:tentative="0">
      <w:start w:val="3"/>
      <w:numFmt w:val="chineseCounting"/>
      <w:suff w:val="space"/>
      <w:lvlText w:val="第%1章"/>
      <w:lvlJc w:val="left"/>
      <w:rPr>
        <w:rFonts w:hint="eastAsia"/>
      </w:rPr>
    </w:lvl>
  </w:abstractNum>
  <w:abstractNum w:abstractNumId="3">
    <w:nsid w:val="D4385211"/>
    <w:multiLevelType w:val="singleLevel"/>
    <w:tmpl w:val="D4385211"/>
    <w:lvl w:ilvl="0" w:tentative="0">
      <w:start w:val="11"/>
      <w:numFmt w:val="chineseCounting"/>
      <w:suff w:val="nothing"/>
      <w:lvlText w:val="%1、"/>
      <w:lvlJc w:val="left"/>
      <w:rPr>
        <w:rFonts w:hint="eastAsia"/>
      </w:rPr>
    </w:lvl>
  </w:abstractNum>
  <w:abstractNum w:abstractNumId="4">
    <w:nsid w:val="ED7556D4"/>
    <w:multiLevelType w:val="singleLevel"/>
    <w:tmpl w:val="ED7556D4"/>
    <w:lvl w:ilvl="0" w:tentative="0">
      <w:start w:val="1"/>
      <w:numFmt w:val="decimal"/>
      <w:suff w:val="nothing"/>
      <w:lvlText w:val="（%1）"/>
      <w:lvlJc w:val="left"/>
      <w:pPr>
        <w:ind w:left="81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728AD"/>
    <w:rsid w:val="01BC027B"/>
    <w:rsid w:val="01CD47B6"/>
    <w:rsid w:val="01E46384"/>
    <w:rsid w:val="02080A95"/>
    <w:rsid w:val="021466B3"/>
    <w:rsid w:val="02482F74"/>
    <w:rsid w:val="02691984"/>
    <w:rsid w:val="0295277A"/>
    <w:rsid w:val="029E49AB"/>
    <w:rsid w:val="02A705E4"/>
    <w:rsid w:val="02DE0761"/>
    <w:rsid w:val="02E36786"/>
    <w:rsid w:val="02E378B3"/>
    <w:rsid w:val="02F519F3"/>
    <w:rsid w:val="03024860"/>
    <w:rsid w:val="031418F0"/>
    <w:rsid w:val="032471B5"/>
    <w:rsid w:val="0330707F"/>
    <w:rsid w:val="03403BCC"/>
    <w:rsid w:val="03773FC1"/>
    <w:rsid w:val="03806F86"/>
    <w:rsid w:val="038D1289"/>
    <w:rsid w:val="03B64756"/>
    <w:rsid w:val="03B66504"/>
    <w:rsid w:val="03E24CA9"/>
    <w:rsid w:val="04041965"/>
    <w:rsid w:val="0430275A"/>
    <w:rsid w:val="046E69E5"/>
    <w:rsid w:val="04D62941"/>
    <w:rsid w:val="04FF037E"/>
    <w:rsid w:val="05147CF7"/>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60544"/>
    <w:rsid w:val="08FD6892"/>
    <w:rsid w:val="091044EC"/>
    <w:rsid w:val="095F13EB"/>
    <w:rsid w:val="097114C8"/>
    <w:rsid w:val="09B74B30"/>
    <w:rsid w:val="09CF1C32"/>
    <w:rsid w:val="09F8206C"/>
    <w:rsid w:val="0A46459A"/>
    <w:rsid w:val="0A956623"/>
    <w:rsid w:val="0A9771DA"/>
    <w:rsid w:val="0AC9453B"/>
    <w:rsid w:val="0ACF61B8"/>
    <w:rsid w:val="0AD100BF"/>
    <w:rsid w:val="0AD211C7"/>
    <w:rsid w:val="0AF40659"/>
    <w:rsid w:val="0B09160F"/>
    <w:rsid w:val="0B341C70"/>
    <w:rsid w:val="0B3A6748"/>
    <w:rsid w:val="0B4437B1"/>
    <w:rsid w:val="0B4D7ACC"/>
    <w:rsid w:val="0B7E21AE"/>
    <w:rsid w:val="0B910ED9"/>
    <w:rsid w:val="0BDD06D2"/>
    <w:rsid w:val="0C0F0E5D"/>
    <w:rsid w:val="0C450D6C"/>
    <w:rsid w:val="0C4F5B11"/>
    <w:rsid w:val="0C873BC0"/>
    <w:rsid w:val="0CA75FE9"/>
    <w:rsid w:val="0CF043C9"/>
    <w:rsid w:val="0CF07C3A"/>
    <w:rsid w:val="0CFD1FA3"/>
    <w:rsid w:val="0D083455"/>
    <w:rsid w:val="0D1644B7"/>
    <w:rsid w:val="0D5015D5"/>
    <w:rsid w:val="0D6830E6"/>
    <w:rsid w:val="0D8F1A4E"/>
    <w:rsid w:val="0DB671A8"/>
    <w:rsid w:val="0DD42A3B"/>
    <w:rsid w:val="0DD76319"/>
    <w:rsid w:val="0E1053AA"/>
    <w:rsid w:val="0E1244F4"/>
    <w:rsid w:val="0E195CD7"/>
    <w:rsid w:val="0E245572"/>
    <w:rsid w:val="0E255E68"/>
    <w:rsid w:val="0E3D753A"/>
    <w:rsid w:val="0E6D7D87"/>
    <w:rsid w:val="0E6F29F0"/>
    <w:rsid w:val="0E775F34"/>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5B2B60"/>
    <w:rsid w:val="10EE41A2"/>
    <w:rsid w:val="10F6674B"/>
    <w:rsid w:val="110765D4"/>
    <w:rsid w:val="115647A1"/>
    <w:rsid w:val="123D251C"/>
    <w:rsid w:val="12945BE2"/>
    <w:rsid w:val="12997D3C"/>
    <w:rsid w:val="12B229AE"/>
    <w:rsid w:val="12E50BB3"/>
    <w:rsid w:val="12F933E4"/>
    <w:rsid w:val="12FB03D7"/>
    <w:rsid w:val="130A45A0"/>
    <w:rsid w:val="134A0072"/>
    <w:rsid w:val="13542D2B"/>
    <w:rsid w:val="13602D13"/>
    <w:rsid w:val="137950CF"/>
    <w:rsid w:val="137F7DA4"/>
    <w:rsid w:val="13A1233D"/>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5A5452"/>
    <w:rsid w:val="15891FD5"/>
    <w:rsid w:val="159C29DB"/>
    <w:rsid w:val="15CA1404"/>
    <w:rsid w:val="15D46CBD"/>
    <w:rsid w:val="15E80F18"/>
    <w:rsid w:val="15F27E2C"/>
    <w:rsid w:val="160A3C74"/>
    <w:rsid w:val="16251E95"/>
    <w:rsid w:val="162815F2"/>
    <w:rsid w:val="1698748D"/>
    <w:rsid w:val="16D3294B"/>
    <w:rsid w:val="170A7F92"/>
    <w:rsid w:val="17530D90"/>
    <w:rsid w:val="176063AF"/>
    <w:rsid w:val="17AA2ACD"/>
    <w:rsid w:val="17D664FB"/>
    <w:rsid w:val="17DA603F"/>
    <w:rsid w:val="18021C3D"/>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A95B3C"/>
    <w:rsid w:val="1BB7608B"/>
    <w:rsid w:val="1BB90559"/>
    <w:rsid w:val="1BC11D23"/>
    <w:rsid w:val="1BD50803"/>
    <w:rsid w:val="1BDD1C2D"/>
    <w:rsid w:val="1BDE68FA"/>
    <w:rsid w:val="1BE96D59"/>
    <w:rsid w:val="1C143DF4"/>
    <w:rsid w:val="1C1768B0"/>
    <w:rsid w:val="1C204A0A"/>
    <w:rsid w:val="1C28484D"/>
    <w:rsid w:val="1C457F29"/>
    <w:rsid w:val="1C712174"/>
    <w:rsid w:val="1C780D06"/>
    <w:rsid w:val="1C8E5517"/>
    <w:rsid w:val="1C9167E2"/>
    <w:rsid w:val="1CEE01FD"/>
    <w:rsid w:val="1CFD2E14"/>
    <w:rsid w:val="1D247268"/>
    <w:rsid w:val="1D317BC8"/>
    <w:rsid w:val="1D6C0601"/>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2E0905"/>
    <w:rsid w:val="20791647"/>
    <w:rsid w:val="20937CAB"/>
    <w:rsid w:val="20966927"/>
    <w:rsid w:val="20FF79BF"/>
    <w:rsid w:val="212B632B"/>
    <w:rsid w:val="21696A82"/>
    <w:rsid w:val="216F1AEC"/>
    <w:rsid w:val="218605B1"/>
    <w:rsid w:val="21910F4E"/>
    <w:rsid w:val="219F2875"/>
    <w:rsid w:val="21B75E11"/>
    <w:rsid w:val="21D2790B"/>
    <w:rsid w:val="22317971"/>
    <w:rsid w:val="224A36E4"/>
    <w:rsid w:val="2254540E"/>
    <w:rsid w:val="225C20C9"/>
    <w:rsid w:val="225C23A6"/>
    <w:rsid w:val="22BE5BE2"/>
    <w:rsid w:val="22CA17DD"/>
    <w:rsid w:val="22F814A8"/>
    <w:rsid w:val="231A075E"/>
    <w:rsid w:val="234B5903"/>
    <w:rsid w:val="234D0AD8"/>
    <w:rsid w:val="23560464"/>
    <w:rsid w:val="236A7E67"/>
    <w:rsid w:val="241F1A4B"/>
    <w:rsid w:val="2423778D"/>
    <w:rsid w:val="24241FC4"/>
    <w:rsid w:val="242B0311"/>
    <w:rsid w:val="242C36E1"/>
    <w:rsid w:val="24325B9D"/>
    <w:rsid w:val="243341C2"/>
    <w:rsid w:val="247973AD"/>
    <w:rsid w:val="24A616FA"/>
    <w:rsid w:val="24AD0375"/>
    <w:rsid w:val="24B7766B"/>
    <w:rsid w:val="24CB4246"/>
    <w:rsid w:val="25010274"/>
    <w:rsid w:val="253A2CC2"/>
    <w:rsid w:val="254A5A35"/>
    <w:rsid w:val="254C5FD3"/>
    <w:rsid w:val="255E767B"/>
    <w:rsid w:val="255F3441"/>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DD52FC"/>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AD4C39"/>
    <w:rsid w:val="2FBA2EA3"/>
    <w:rsid w:val="2FD9050F"/>
    <w:rsid w:val="2FE43DD4"/>
    <w:rsid w:val="300643B7"/>
    <w:rsid w:val="30240B15"/>
    <w:rsid w:val="303D0613"/>
    <w:rsid w:val="30403DE9"/>
    <w:rsid w:val="30622AB9"/>
    <w:rsid w:val="30A746DC"/>
    <w:rsid w:val="30AA1882"/>
    <w:rsid w:val="30EF0850"/>
    <w:rsid w:val="3112086C"/>
    <w:rsid w:val="31152C49"/>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004C9D"/>
    <w:rsid w:val="35212D70"/>
    <w:rsid w:val="35287674"/>
    <w:rsid w:val="354547DD"/>
    <w:rsid w:val="354C6C98"/>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6D5CDF"/>
    <w:rsid w:val="387C6CD3"/>
    <w:rsid w:val="38BD3C39"/>
    <w:rsid w:val="38CC1E7E"/>
    <w:rsid w:val="38E10C17"/>
    <w:rsid w:val="39017F3E"/>
    <w:rsid w:val="39072947"/>
    <w:rsid w:val="390F0E67"/>
    <w:rsid w:val="39351138"/>
    <w:rsid w:val="394F514D"/>
    <w:rsid w:val="3961076D"/>
    <w:rsid w:val="39671A73"/>
    <w:rsid w:val="398A6F78"/>
    <w:rsid w:val="398B6DCA"/>
    <w:rsid w:val="3A3C6F5F"/>
    <w:rsid w:val="3A5B15D7"/>
    <w:rsid w:val="3A7B01B9"/>
    <w:rsid w:val="3A84498A"/>
    <w:rsid w:val="3A9453AE"/>
    <w:rsid w:val="3AAB1519"/>
    <w:rsid w:val="3B6F42AD"/>
    <w:rsid w:val="3B7C7A57"/>
    <w:rsid w:val="3B826922"/>
    <w:rsid w:val="3B861270"/>
    <w:rsid w:val="3B8F3959"/>
    <w:rsid w:val="3BB261EF"/>
    <w:rsid w:val="3BD15BD6"/>
    <w:rsid w:val="3C0435A9"/>
    <w:rsid w:val="3C436364"/>
    <w:rsid w:val="3C4A598C"/>
    <w:rsid w:val="3C4E2A76"/>
    <w:rsid w:val="3C9B2663"/>
    <w:rsid w:val="3CA05C88"/>
    <w:rsid w:val="3CBB3E05"/>
    <w:rsid w:val="3CC16B3B"/>
    <w:rsid w:val="3CD411CD"/>
    <w:rsid w:val="3CF278A5"/>
    <w:rsid w:val="3D5F318D"/>
    <w:rsid w:val="3D78251B"/>
    <w:rsid w:val="3D78424E"/>
    <w:rsid w:val="3D7B31B9"/>
    <w:rsid w:val="3DAB605B"/>
    <w:rsid w:val="3DBB7565"/>
    <w:rsid w:val="3DEC244C"/>
    <w:rsid w:val="3DF12AE1"/>
    <w:rsid w:val="3DFD2430"/>
    <w:rsid w:val="3E2D0960"/>
    <w:rsid w:val="3E363620"/>
    <w:rsid w:val="3E4D3213"/>
    <w:rsid w:val="3E5B4F95"/>
    <w:rsid w:val="3E5E55D0"/>
    <w:rsid w:val="3E9C53E0"/>
    <w:rsid w:val="3EA70EC3"/>
    <w:rsid w:val="3EA7714D"/>
    <w:rsid w:val="3EB74FA4"/>
    <w:rsid w:val="3EC7634F"/>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D07401"/>
    <w:rsid w:val="42E642DB"/>
    <w:rsid w:val="42EA5C76"/>
    <w:rsid w:val="430371A9"/>
    <w:rsid w:val="430F4DE6"/>
    <w:rsid w:val="431007DA"/>
    <w:rsid w:val="43154FCB"/>
    <w:rsid w:val="4336151A"/>
    <w:rsid w:val="433E0542"/>
    <w:rsid w:val="43914424"/>
    <w:rsid w:val="43915B61"/>
    <w:rsid w:val="439416B6"/>
    <w:rsid w:val="43C747A4"/>
    <w:rsid w:val="440C3942"/>
    <w:rsid w:val="44846F85"/>
    <w:rsid w:val="44872505"/>
    <w:rsid w:val="449530D2"/>
    <w:rsid w:val="44990651"/>
    <w:rsid w:val="44A07152"/>
    <w:rsid w:val="451653FF"/>
    <w:rsid w:val="45770626"/>
    <w:rsid w:val="459933EC"/>
    <w:rsid w:val="45D941B9"/>
    <w:rsid w:val="45DC1F0A"/>
    <w:rsid w:val="45E16C49"/>
    <w:rsid w:val="4612658A"/>
    <w:rsid w:val="4678706D"/>
    <w:rsid w:val="468C4E2B"/>
    <w:rsid w:val="46E607E6"/>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02279"/>
    <w:rsid w:val="499F771B"/>
    <w:rsid w:val="49C6176B"/>
    <w:rsid w:val="49D83949"/>
    <w:rsid w:val="49EC224C"/>
    <w:rsid w:val="4A054E7C"/>
    <w:rsid w:val="4A16118F"/>
    <w:rsid w:val="4A6B1B30"/>
    <w:rsid w:val="4A7D3714"/>
    <w:rsid w:val="4A8D6A8D"/>
    <w:rsid w:val="4A9C24DA"/>
    <w:rsid w:val="4A9D27AC"/>
    <w:rsid w:val="4AB52BE8"/>
    <w:rsid w:val="4AF24FBC"/>
    <w:rsid w:val="4B67770B"/>
    <w:rsid w:val="4BBB3347"/>
    <w:rsid w:val="4BE442BB"/>
    <w:rsid w:val="4BEB29DC"/>
    <w:rsid w:val="4BED32E8"/>
    <w:rsid w:val="4C004579"/>
    <w:rsid w:val="4C060A66"/>
    <w:rsid w:val="4C210A00"/>
    <w:rsid w:val="4C343A36"/>
    <w:rsid w:val="4C357174"/>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E60EA8"/>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1628B4"/>
    <w:rsid w:val="50320027"/>
    <w:rsid w:val="503A5697"/>
    <w:rsid w:val="504058BC"/>
    <w:rsid w:val="50827466"/>
    <w:rsid w:val="509067D8"/>
    <w:rsid w:val="5099042C"/>
    <w:rsid w:val="50A82C45"/>
    <w:rsid w:val="50C27555"/>
    <w:rsid w:val="50D40202"/>
    <w:rsid w:val="50D457E8"/>
    <w:rsid w:val="510B66E9"/>
    <w:rsid w:val="512B6180"/>
    <w:rsid w:val="513C3921"/>
    <w:rsid w:val="5153495F"/>
    <w:rsid w:val="517843C5"/>
    <w:rsid w:val="518A3654"/>
    <w:rsid w:val="51CA3667"/>
    <w:rsid w:val="521756B0"/>
    <w:rsid w:val="522C3700"/>
    <w:rsid w:val="52355520"/>
    <w:rsid w:val="526C4D2E"/>
    <w:rsid w:val="52A4575E"/>
    <w:rsid w:val="53062BA0"/>
    <w:rsid w:val="530974A8"/>
    <w:rsid w:val="53365718"/>
    <w:rsid w:val="533D567A"/>
    <w:rsid w:val="53566988"/>
    <w:rsid w:val="537C6C0F"/>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4C2CBF"/>
    <w:rsid w:val="56656F6C"/>
    <w:rsid w:val="56737851"/>
    <w:rsid w:val="567614FF"/>
    <w:rsid w:val="56B13549"/>
    <w:rsid w:val="56CD51AC"/>
    <w:rsid w:val="56FD4968"/>
    <w:rsid w:val="57037FEE"/>
    <w:rsid w:val="570D33DF"/>
    <w:rsid w:val="571E7ECD"/>
    <w:rsid w:val="573B423B"/>
    <w:rsid w:val="576D3A72"/>
    <w:rsid w:val="578F73C4"/>
    <w:rsid w:val="57A723A1"/>
    <w:rsid w:val="57DF7E2D"/>
    <w:rsid w:val="57E00F16"/>
    <w:rsid w:val="57ED184C"/>
    <w:rsid w:val="58093EE5"/>
    <w:rsid w:val="58164AB8"/>
    <w:rsid w:val="581B0B64"/>
    <w:rsid w:val="588B41C8"/>
    <w:rsid w:val="58CA32E2"/>
    <w:rsid w:val="58D35D0B"/>
    <w:rsid w:val="58E158AF"/>
    <w:rsid w:val="59002A9B"/>
    <w:rsid w:val="592D018B"/>
    <w:rsid w:val="5936669E"/>
    <w:rsid w:val="597908A1"/>
    <w:rsid w:val="59A7588E"/>
    <w:rsid w:val="59AA3BD8"/>
    <w:rsid w:val="59B134D1"/>
    <w:rsid w:val="59B83A6B"/>
    <w:rsid w:val="59B91A1F"/>
    <w:rsid w:val="5A003AEC"/>
    <w:rsid w:val="5A056A12"/>
    <w:rsid w:val="5A120D2F"/>
    <w:rsid w:val="5A6A76C2"/>
    <w:rsid w:val="5A7A29FB"/>
    <w:rsid w:val="5AE22C36"/>
    <w:rsid w:val="5AED3131"/>
    <w:rsid w:val="5AF37D1A"/>
    <w:rsid w:val="5B3E4C84"/>
    <w:rsid w:val="5B665563"/>
    <w:rsid w:val="5B8B2F47"/>
    <w:rsid w:val="5BBF34B1"/>
    <w:rsid w:val="5BC43956"/>
    <w:rsid w:val="5C237623"/>
    <w:rsid w:val="5C67588F"/>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852FE0"/>
    <w:rsid w:val="5F9A066A"/>
    <w:rsid w:val="5FAB1252"/>
    <w:rsid w:val="5FB222AF"/>
    <w:rsid w:val="5FB55088"/>
    <w:rsid w:val="5FFB3D15"/>
    <w:rsid w:val="601A5F60"/>
    <w:rsid w:val="603A393A"/>
    <w:rsid w:val="6054573B"/>
    <w:rsid w:val="607D5A8D"/>
    <w:rsid w:val="60896B0A"/>
    <w:rsid w:val="60A76A75"/>
    <w:rsid w:val="60AF76D8"/>
    <w:rsid w:val="61274E59"/>
    <w:rsid w:val="612C12BA"/>
    <w:rsid w:val="6142298B"/>
    <w:rsid w:val="61607FC8"/>
    <w:rsid w:val="617B357D"/>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5E73B73"/>
    <w:rsid w:val="66212AB1"/>
    <w:rsid w:val="666920D7"/>
    <w:rsid w:val="667106B8"/>
    <w:rsid w:val="6672516A"/>
    <w:rsid w:val="66786189"/>
    <w:rsid w:val="669663C9"/>
    <w:rsid w:val="67201934"/>
    <w:rsid w:val="672D101A"/>
    <w:rsid w:val="674B6826"/>
    <w:rsid w:val="67D200D0"/>
    <w:rsid w:val="67DC172E"/>
    <w:rsid w:val="67E422E6"/>
    <w:rsid w:val="67F10937"/>
    <w:rsid w:val="67F40878"/>
    <w:rsid w:val="680A07A4"/>
    <w:rsid w:val="6850401C"/>
    <w:rsid w:val="68A223E7"/>
    <w:rsid w:val="68D5773D"/>
    <w:rsid w:val="68F77208"/>
    <w:rsid w:val="68F92C59"/>
    <w:rsid w:val="68FE1FA4"/>
    <w:rsid w:val="6909492A"/>
    <w:rsid w:val="69363E60"/>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027BB7"/>
    <w:rsid w:val="6B162D16"/>
    <w:rsid w:val="6B1653A3"/>
    <w:rsid w:val="6B1A4490"/>
    <w:rsid w:val="6B4B5552"/>
    <w:rsid w:val="6B5D15E2"/>
    <w:rsid w:val="6B9A16B0"/>
    <w:rsid w:val="6C8350C7"/>
    <w:rsid w:val="6CCA0B17"/>
    <w:rsid w:val="6CCF1FC0"/>
    <w:rsid w:val="6CD45B59"/>
    <w:rsid w:val="6D4E1C4A"/>
    <w:rsid w:val="6DA91DA3"/>
    <w:rsid w:val="6DBB6C45"/>
    <w:rsid w:val="6DBD676D"/>
    <w:rsid w:val="6DD50C2C"/>
    <w:rsid w:val="6DF14B7B"/>
    <w:rsid w:val="6E19238C"/>
    <w:rsid w:val="6E3A4E45"/>
    <w:rsid w:val="6E56579E"/>
    <w:rsid w:val="6E7952FB"/>
    <w:rsid w:val="6E9F2B3A"/>
    <w:rsid w:val="6EE43495"/>
    <w:rsid w:val="6EEC54E0"/>
    <w:rsid w:val="6EFA14C2"/>
    <w:rsid w:val="6F1641C5"/>
    <w:rsid w:val="6F236916"/>
    <w:rsid w:val="6F2E4235"/>
    <w:rsid w:val="6F6C2D80"/>
    <w:rsid w:val="6F8B1697"/>
    <w:rsid w:val="6FA91B70"/>
    <w:rsid w:val="6FCF5424"/>
    <w:rsid w:val="6FD90CAD"/>
    <w:rsid w:val="6FD961A1"/>
    <w:rsid w:val="6FE158E0"/>
    <w:rsid w:val="70004737"/>
    <w:rsid w:val="700B0B10"/>
    <w:rsid w:val="701F0719"/>
    <w:rsid w:val="70497EB8"/>
    <w:rsid w:val="70754519"/>
    <w:rsid w:val="707F7800"/>
    <w:rsid w:val="708740C7"/>
    <w:rsid w:val="70A46F5A"/>
    <w:rsid w:val="70BF5743"/>
    <w:rsid w:val="711A1BD8"/>
    <w:rsid w:val="714D64DA"/>
    <w:rsid w:val="715404C0"/>
    <w:rsid w:val="71A60683"/>
    <w:rsid w:val="71D602F7"/>
    <w:rsid w:val="721F25E6"/>
    <w:rsid w:val="72225F5B"/>
    <w:rsid w:val="726310A6"/>
    <w:rsid w:val="727B601C"/>
    <w:rsid w:val="72ED3BAF"/>
    <w:rsid w:val="72F96EBF"/>
    <w:rsid w:val="735301FE"/>
    <w:rsid w:val="736471BB"/>
    <w:rsid w:val="73962211"/>
    <w:rsid w:val="73A423D9"/>
    <w:rsid w:val="73D019E7"/>
    <w:rsid w:val="73D62D92"/>
    <w:rsid w:val="73E23AB8"/>
    <w:rsid w:val="74245487"/>
    <w:rsid w:val="742A10F7"/>
    <w:rsid w:val="742A236B"/>
    <w:rsid w:val="743F619C"/>
    <w:rsid w:val="74B36942"/>
    <w:rsid w:val="74B84955"/>
    <w:rsid w:val="74C96C28"/>
    <w:rsid w:val="74FB1C3F"/>
    <w:rsid w:val="751746DF"/>
    <w:rsid w:val="75181898"/>
    <w:rsid w:val="754629D5"/>
    <w:rsid w:val="758636F3"/>
    <w:rsid w:val="758753A2"/>
    <w:rsid w:val="75910C14"/>
    <w:rsid w:val="759E20D6"/>
    <w:rsid w:val="75AF26AE"/>
    <w:rsid w:val="75B4608A"/>
    <w:rsid w:val="75DF705C"/>
    <w:rsid w:val="75E41F65"/>
    <w:rsid w:val="75EF230F"/>
    <w:rsid w:val="7604566A"/>
    <w:rsid w:val="76047839"/>
    <w:rsid w:val="7619489E"/>
    <w:rsid w:val="76452218"/>
    <w:rsid w:val="76571277"/>
    <w:rsid w:val="766074C4"/>
    <w:rsid w:val="76632750"/>
    <w:rsid w:val="76972DF3"/>
    <w:rsid w:val="76D33CC8"/>
    <w:rsid w:val="76E1069F"/>
    <w:rsid w:val="76E3312B"/>
    <w:rsid w:val="77041CF7"/>
    <w:rsid w:val="77042681"/>
    <w:rsid w:val="770B62D8"/>
    <w:rsid w:val="7717431B"/>
    <w:rsid w:val="771F0CBB"/>
    <w:rsid w:val="77220B12"/>
    <w:rsid w:val="778F2943"/>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86F1E"/>
    <w:rsid w:val="7C1C1C6D"/>
    <w:rsid w:val="7C3564FE"/>
    <w:rsid w:val="7C5D32E5"/>
    <w:rsid w:val="7C784E84"/>
    <w:rsid w:val="7C892AB5"/>
    <w:rsid w:val="7CC876B0"/>
    <w:rsid w:val="7CFA7FFD"/>
    <w:rsid w:val="7D763AFD"/>
    <w:rsid w:val="7D8652D5"/>
    <w:rsid w:val="7DDD5232"/>
    <w:rsid w:val="7DE95B7F"/>
    <w:rsid w:val="7E191C60"/>
    <w:rsid w:val="7E337833"/>
    <w:rsid w:val="7E452FD4"/>
    <w:rsid w:val="7E461491"/>
    <w:rsid w:val="7E57661B"/>
    <w:rsid w:val="7E6D4A02"/>
    <w:rsid w:val="7E7F0292"/>
    <w:rsid w:val="7E8A7449"/>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 w:val="7FC74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2</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2025-09-08T09:51:59Z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