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1"/>
          <w:szCs w:val="21"/>
          <w:highlight w:val="none"/>
        </w:rPr>
      </w:pPr>
      <w:r>
        <w:rPr>
          <w:rFonts w:hint="eastAsia" w:cs="宋体"/>
          <w:b/>
          <w:bCs/>
          <w:color w:val="auto"/>
          <w:sz w:val="48"/>
          <w:szCs w:val="48"/>
          <w:highlight w:val="none"/>
          <w:u w:val="none"/>
          <w:lang w:val="en-US" w:eastAsia="zh-CN"/>
        </w:rPr>
        <w:t>某项目（新华区2）劳务分包二次</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某项目（新华区2）劳务分包二次公开比选采购公告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某项目（新华区2）劳务分包二次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某项目（新华区2）</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如确认参加此次比选，需在2025年09月18日11时前将确认参加比选回执函（详见附件）发送到邮箱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w:t>
      </w:r>
      <w:bookmarkStart w:id="85" w:name="_GoBack"/>
      <w:bookmarkEnd w:id="85"/>
      <w:r>
        <w:rPr>
          <w:rFonts w:hint="eastAsia" w:ascii="宋体" w:hAnsi="宋体" w:cs="宋体"/>
          <w:color w:val="auto"/>
          <w:sz w:val="24"/>
          <w:highlight w:val="none"/>
        </w:rPr>
        <w:t>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某项目（新华区2）劳务分包二次</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9085"/>
      <w:bookmarkStart w:id="11" w:name="_Toc22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总限价：3171911.81</w:t>
            </w:r>
            <w:r>
              <w:rPr>
                <w:rFonts w:hint="eastAsia" w:ascii="宋体" w:hAnsi="宋体" w:eastAsia="宋体" w:cs="宋体"/>
                <w:color w:val="auto"/>
                <w:sz w:val="24"/>
                <w:szCs w:val="24"/>
                <w:highlight w:val="none"/>
              </w:rPr>
              <w:t>元</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兴凯路干休所换热站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383772.67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十三所干休所换热站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84330.07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534仓库换热站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238214.77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第十六干休所换热站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66401.83</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铁路宿舍48换热站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194848.65</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32140部队换热站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198473.72</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大安舍新村换热站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1032176.83</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南车锅炉房换热站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35445.68</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安瑞科换热站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346444.37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水岸憬园换热站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86361.05</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尚河明珠换热站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79909.90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铁道宿舍41换热站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51775.63</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单身十宿舍换热站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40502.95</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新苑换热站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333253.69</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（此站站内无图纸无清单，一网无图纸按清单报价，后期根据工程量据实结算）</w:t>
            </w:r>
            <w:r>
              <w:rPr>
                <w:rFonts w:hint="eastAsia" w:ascii="宋体" w:hAnsi="宋体" w:eastAsia="宋体" w:cs="宋体"/>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某项目（新华区2）劳务分包二次</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50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50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某项目（新华区2）劳务分包二次</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50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某项目（新华区2）劳务分包二次</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bidi w:val="0"/>
        <w:adjustRightInd w:val="0"/>
        <w:snapToGrid w:val="0"/>
        <w:spacing w:line="50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tbl>
      <w:tblPr>
        <w:tblStyle w:val="22"/>
        <w:tblW w:w="8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197"/>
        <w:gridCol w:w="2644"/>
        <w:gridCol w:w="2839"/>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9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新华区2</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兴凯路干休所换热站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十三所干休所换热站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534仓库换热站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第十六干休所换热站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铁路宿舍48换热站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32140部队换热站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1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大安舍新村换热站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南车锅炉房换热站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安瑞科换热站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水岸憬园换热站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尚河明珠换热站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铁道宿舍41换热站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单身十宿舍换热站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新苑换热站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3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21847"/>
      <w:bookmarkStart w:id="18" w:name="_Toc10115"/>
      <w:bookmarkStart w:id="19" w:name="_Toc1445"/>
      <w:bookmarkStart w:id="20" w:name="_Toc7387"/>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rPr>
          <w:rFonts w:hint="eastAsia" w:cs="Times New Roman"/>
          <w:b/>
          <w:bCs w:val="0"/>
          <w:color w:val="auto"/>
          <w:kern w:val="0"/>
          <w:sz w:val="32"/>
          <w:szCs w:val="32"/>
          <w:highlight w:val="none"/>
          <w:lang w:val="en-US" w:eastAsia="zh-CN" w:bidi="ar"/>
        </w:rPr>
      </w:pPr>
    </w:p>
    <w:p>
      <w:pPr>
        <w:pStyle w:val="2"/>
        <w:rPr>
          <w:rFonts w:hint="eastAsia"/>
          <w:color w:val="auto"/>
          <w:highlight w:val="none"/>
          <w:lang w:val="en-US" w:eastAsia="zh-CN"/>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30767"/>
      <w:bookmarkStart w:id="22" w:name="_Toc8962"/>
      <w:bookmarkStart w:id="23" w:name="_Toc2164"/>
      <w:bookmarkStart w:id="24" w:name="_Toc21198"/>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3359"/>
      <w:bookmarkStart w:id="26" w:name="_Toc13546"/>
      <w:bookmarkStart w:id="27" w:name="_Toc21741"/>
      <w:bookmarkStart w:id="28"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80"/>
      <w:bookmarkStart w:id="30" w:name="_Toc14486"/>
      <w:bookmarkStart w:id="31" w:name="_Toc4606"/>
      <w:bookmarkStart w:id="32" w:name="_Toc21491"/>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3450"/>
      <w:bookmarkStart w:id="34" w:name="_Toc676"/>
      <w:bookmarkStart w:id="35" w:name="_Toc29609"/>
      <w:bookmarkStart w:id="36" w:name="_Toc14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52691662"/>
      <w:bookmarkStart w:id="40" w:name="_Toc27897"/>
      <w:bookmarkStart w:id="41"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300835211"/>
      <w:bookmarkStart w:id="43" w:name="_Toc15573"/>
      <w:bookmarkStart w:id="44" w:name="_Toc152042578"/>
      <w:bookmarkStart w:id="45" w:name="_Toc384308377"/>
      <w:bookmarkStart w:id="46" w:name="_Toc352691663"/>
      <w:bookmarkStart w:id="47" w:name="_Toc247514248"/>
      <w:bookmarkStart w:id="48" w:name="_Toc369531699"/>
      <w:bookmarkStart w:id="49" w:name="_Toc152045789"/>
      <w:bookmarkStart w:id="50" w:name="_Toc247527829"/>
      <w:bookmarkStart w:id="51" w:name="_Toc361508754"/>
      <w:bookmarkStart w:id="52" w:name="_Toc144974858"/>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16317"/>
      <w:bookmarkStart w:id="54" w:name="_Toc396236625"/>
      <w:bookmarkStart w:id="55" w:name="_Toc27295"/>
      <w:bookmarkStart w:id="56" w:name="_Toc18230"/>
      <w:bookmarkStart w:id="57" w:name="_Toc2962"/>
      <w:bookmarkStart w:id="58" w:name="_Toc12389"/>
      <w:bookmarkStart w:id="59" w:name="_Toc360630804"/>
      <w:bookmarkStart w:id="60" w:name="_Toc13257"/>
      <w:bookmarkStart w:id="61" w:name="_Toc396236151"/>
      <w:bookmarkStart w:id="62" w:name="_Toc7142"/>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某项目（新华区2）劳务分包二次</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5105"/>
      <w:bookmarkStart w:id="66" w:name="_Toc18023"/>
      <w:bookmarkStart w:id="67" w:name="_Toc30751"/>
      <w:bookmarkStart w:id="68" w:name="_Toc28350"/>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339"/>
      <w:bookmarkStart w:id="70" w:name="_Toc24831"/>
      <w:bookmarkStart w:id="71" w:name="_Toc15030"/>
      <w:bookmarkStart w:id="72" w:name="_Toc26767"/>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17330"/>
      <w:bookmarkStart w:id="74" w:name="_Toc8006"/>
      <w:bookmarkStart w:id="75" w:name="_Toc11194"/>
      <w:bookmarkStart w:id="76" w:name="_Toc3109"/>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某项目（新华区2）劳务分包二次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19356"/>
      <w:bookmarkStart w:id="79" w:name="_Toc9901"/>
      <w:bookmarkStart w:id="80" w:name="_Toc23278"/>
      <w:bookmarkStart w:id="81" w:name="_Toc2867"/>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325B9D"/>
    <w:rsid w:val="243341C2"/>
    <w:rsid w:val="247973AD"/>
    <w:rsid w:val="24A616FA"/>
    <w:rsid w:val="24AD0375"/>
    <w:rsid w:val="24B7766B"/>
    <w:rsid w:val="24CB4246"/>
    <w:rsid w:val="25010274"/>
    <w:rsid w:val="254A5A35"/>
    <w:rsid w:val="255E767B"/>
    <w:rsid w:val="255F3441"/>
    <w:rsid w:val="256C658B"/>
    <w:rsid w:val="25787A64"/>
    <w:rsid w:val="258F63EA"/>
    <w:rsid w:val="25995468"/>
    <w:rsid w:val="262A3F60"/>
    <w:rsid w:val="263830D3"/>
    <w:rsid w:val="266E17DC"/>
    <w:rsid w:val="26734A4E"/>
    <w:rsid w:val="268A5D38"/>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AD4C39"/>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D43E0"/>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C301C7"/>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3E0542"/>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A5D8D"/>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46428E"/>
    <w:rsid w:val="526C4D2E"/>
    <w:rsid w:val="52A4575E"/>
    <w:rsid w:val="53062BA0"/>
    <w:rsid w:val="530974A8"/>
    <w:rsid w:val="53365718"/>
    <w:rsid w:val="533D567A"/>
    <w:rsid w:val="53566988"/>
    <w:rsid w:val="537C6C0F"/>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852FE0"/>
    <w:rsid w:val="5F9A066A"/>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2F96EBF"/>
    <w:rsid w:val="735301FE"/>
    <w:rsid w:val="736471BB"/>
    <w:rsid w:val="73962211"/>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86F1E"/>
    <w:rsid w:val="7C1C1C6D"/>
    <w:rsid w:val="7C3564FE"/>
    <w:rsid w:val="7C5D32E5"/>
    <w:rsid w:val="7C784E84"/>
    <w:rsid w:val="7C892AB5"/>
    <w:rsid w:val="7CC876B0"/>
    <w:rsid w:val="7CFA7FFD"/>
    <w:rsid w:val="7D763AFD"/>
    <w:rsid w:val="7D8652D5"/>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500CF6"/>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2</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2025-09-16T03:33:57Z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