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pPr>
    </w:p>
    <w:p>
      <w:pPr>
        <w:pStyle w:val="12"/>
        <w:rPr>
          <w:color w:val="auto"/>
          <w:highlight w:val="none"/>
        </w:rPr>
      </w:pPr>
    </w:p>
    <w:p>
      <w:pPr>
        <w:pStyle w:val="6"/>
        <w:jc w:val="center"/>
        <w:rPr>
          <w:rFonts w:hint="eastAsia" w:eastAsia="宋体"/>
          <w:color w:val="auto"/>
          <w:highlight w:val="none"/>
          <w:lang w:eastAsia="zh-CN"/>
        </w:rPr>
      </w:pPr>
      <w:r>
        <w:rPr>
          <w:rFonts w:hint="eastAsia" w:cs="宋体"/>
          <w:color w:val="auto"/>
          <w:sz w:val="56"/>
          <w:szCs w:val="56"/>
          <w:highlight w:val="none"/>
          <w:lang w:eastAsia="zh-CN"/>
        </w:rPr>
        <w:t>地块二十六热力工程劳务分包采购</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2025年</w:t>
      </w:r>
      <w:r>
        <w:rPr>
          <w:rFonts w:hint="eastAsia" w:ascii="宋体" w:hAnsi="宋体" w:cs="宋体"/>
          <w:b/>
          <w:bCs/>
          <w:color w:val="auto"/>
          <w:sz w:val="28"/>
          <w:szCs w:val="28"/>
          <w:highlight w:val="none"/>
          <w:lang w:val="en-US" w:eastAsia="zh-CN"/>
        </w:rPr>
        <w:t>11</w:t>
      </w:r>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地块二十六热力工程劳务分包采购</w:t>
      </w:r>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地块二十六热力工程劳务分包采购</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地块二十六热力工程</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ascii="宋体" w:hAnsi="宋体" w:cs="宋体"/>
          <w:color w:val="auto"/>
          <w:sz w:val="24"/>
          <w:highlight w:val="yellow"/>
          <w:u w:val="single"/>
        </w:rPr>
      </w:pPr>
      <w:r>
        <w:rPr>
          <w:rFonts w:hint="eastAsia" w:ascii="宋体" w:hAnsi="宋体" w:cs="宋体"/>
          <w:b/>
          <w:bCs/>
          <w:color w:val="auto"/>
          <w:sz w:val="24"/>
          <w:highlight w:val="none"/>
        </w:rPr>
        <w:t>四、工期：</w:t>
      </w:r>
      <w:r>
        <w:rPr>
          <w:rFonts w:hint="eastAsia" w:ascii="宋体" w:hAnsi="宋体" w:cs="宋体"/>
          <w:color w:val="auto"/>
          <w:sz w:val="24"/>
          <w:highlight w:val="none"/>
          <w:lang w:val="en-US" w:eastAsia="zh-CN"/>
        </w:rPr>
        <w:t>随总包进度</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六、供应商资格要求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"mailto:凡有意参选者，请点击附件自行下载。如确认参加此次比选，需在2025年09月08日12时前将确认参加比选回执函（详见附件）发送到邮箱grchhgk@163.com" </w:instrText>
      </w:r>
      <w:r>
        <w:rPr>
          <w:color w:val="auto"/>
          <w:highlight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如确认参加此次比选，需在2025年</w:t>
      </w:r>
      <w:r>
        <w:rPr>
          <w:rStyle w:val="26"/>
          <w:rFonts w:hint="eastAsia" w:ascii="宋体" w:hAnsi="宋体" w:cs="宋体"/>
          <w:b/>
          <w:bCs/>
          <w:color w:val="auto"/>
          <w:sz w:val="24"/>
          <w:highlight w:val="none"/>
          <w:u w:val="none"/>
          <w:lang w:val="en-US" w:eastAsia="zh-CN"/>
        </w:rPr>
        <w:t>11</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09</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 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 xml:space="preserve">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rPr>
        <w:t>十、发布公告的媒体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十一、联系方式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rPr>
          <w:color w:val="auto"/>
          <w:highlight w:val="none"/>
        </w:rPr>
      </w:pPr>
      <w:bookmarkStart w:id="5" w:name="_Toc26879"/>
    </w:p>
    <w:p>
      <w:pPr>
        <w:pStyle w:val="12"/>
        <w:rPr>
          <w:color w:val="auto"/>
          <w:highlight w:val="none"/>
        </w:rPr>
      </w:pP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地块二十六热力工程劳务分包采购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285"/>
      <w:bookmarkStart w:id="11" w:name="_Toc290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pStyle w:val="2"/>
              <w:jc w:val="both"/>
              <w:rPr>
                <w:color w:val="auto"/>
                <w:highlight w:val="none"/>
                <w:lang w:bidi="ar"/>
              </w:rPr>
            </w:pPr>
            <w:r>
              <w:rPr>
                <w:rFonts w:hint="eastAsia" w:ascii="宋体" w:hAnsi="宋体" w:cs="宋体"/>
                <w:b/>
                <w:bCs/>
                <w:color w:val="auto"/>
                <w:sz w:val="24"/>
                <w:highlight w:val="none"/>
              </w:rPr>
              <w:t>1261047.87元（含税）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hint="default" w:ascii="宋体" w:hAnsi="宋体" w:eastAsia="宋体" w:cs="宋体"/>
                <w:color w:val="auto"/>
                <w:kern w:val="0"/>
                <w:sz w:val="24"/>
                <w:highlight w:val="none"/>
                <w:u w:val="single"/>
                <w:lang w:val="en-US"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auto" w:sz="4" w:space="0"/>
              <w:right w:val="single" w:color="000000" w:sz="4" w:space="0"/>
            </w:tcBorders>
            <w:vAlign w:val="center"/>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2"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numPr>
          <w:ilvl w:val="0"/>
          <w:numId w:val="3"/>
        </w:numPr>
        <w:jc w:val="center"/>
        <w:rPr>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4"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4"/>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5" w:name="_Toc16056"/>
      <w:r>
        <w:rPr>
          <w:rFonts w:hint="eastAsia"/>
          <w:color w:val="auto"/>
          <w:sz w:val="36"/>
          <w:szCs w:val="36"/>
          <w:highlight w:val="none"/>
        </w:rPr>
        <w:t>第四章 评审办法</w:t>
      </w:r>
      <w:bookmarkEnd w:id="15"/>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9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94"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569"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rPr>
          <w:trHeight w:val="81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83"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66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rPr>
          <w:trHeight w:val="690"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76"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rPr>
          <w:trHeight w:val="77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46"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rPr>
          <w:trHeight w:val="73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供应商每具有一个2022年10月01日至今（以合同签订时间为准）的劳务类业绩得2分，最高得5分。须在响应文件中附合同协议书原件扫描件。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6" w:name="_Toc28649"/>
      <w:r>
        <w:rPr>
          <w:rFonts w:hint="eastAsia"/>
          <w:color w:val="auto"/>
          <w:sz w:val="36"/>
          <w:szCs w:val="36"/>
          <w:highlight w:val="none"/>
        </w:rPr>
        <w:t>第五章 响应文件格式</w:t>
      </w:r>
      <w:bookmarkEnd w:id="16"/>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地块二十六热力工程劳务分包采购</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rPr>
          <w:b/>
          <w:bCs/>
          <w:color w:val="auto"/>
          <w:sz w:val="36"/>
          <w:szCs w:val="36"/>
          <w:highlight w:val="none"/>
        </w:rPr>
      </w:pPr>
    </w:p>
    <w:p>
      <w:pPr>
        <w:pStyle w:val="2"/>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widowControl/>
        <w:autoSpaceDE w:val="0"/>
        <w:autoSpaceDN w:val="0"/>
        <w:adjustRightInd w:val="0"/>
        <w:spacing w:line="560" w:lineRule="exact"/>
        <w:ind w:left="240" w:hanging="240" w:hangingChars="100"/>
        <w:jc w:val="left"/>
        <w:rPr>
          <w:rFonts w:ascii="宋体" w:hAnsi="宋体"/>
          <w:color w:val="auto"/>
          <w:kern w:val="0"/>
          <w:sz w:val="24"/>
          <w:highlight w:val="none"/>
        </w:rPr>
      </w:pPr>
      <w:r>
        <w:rPr>
          <w:rFonts w:hint="eastAsia" w:ascii="宋体" w:hAnsi="宋体"/>
          <w:color w:val="auto"/>
          <w:kern w:val="0"/>
          <w:sz w:val="24"/>
          <w:highlight w:val="none"/>
        </w:rPr>
        <w:t>致：石家庄承宏工程建设有限公司司</w:t>
      </w:r>
    </w:p>
    <w:p>
      <w:pPr>
        <w:widowControl/>
        <w:autoSpaceDE w:val="0"/>
        <w:autoSpaceDN w:val="0"/>
        <w:adjustRightInd w:val="0"/>
        <w:spacing w:line="560" w:lineRule="exact"/>
        <w:ind w:firstLine="720" w:firstLineChars="300"/>
        <w:jc w:val="left"/>
        <w:rPr>
          <w:rFonts w:ascii="宋体" w:hAnsi="宋体"/>
          <w:color w:val="auto"/>
          <w:kern w:val="0"/>
          <w:sz w:val="24"/>
          <w:highlight w:val="none"/>
        </w:rPr>
      </w:pPr>
      <w:r>
        <w:rPr>
          <w:rFonts w:ascii="宋体" w:hAnsi="宋体"/>
          <w:color w:val="auto"/>
          <w:kern w:val="0"/>
          <w:sz w:val="24"/>
          <w:highlight w:val="none"/>
        </w:rPr>
        <w:t>我们收到贵方</w:t>
      </w:r>
      <w:bookmarkStart w:id="17" w:name="OLE_LINK12"/>
      <w:bookmarkStart w:id="18" w:name="OLE_LINK13"/>
      <w:r>
        <w:rPr>
          <w:rFonts w:hint="eastAsia" w:ascii="宋体" w:hAnsi="宋体"/>
          <w:color w:val="auto"/>
          <w:kern w:val="0"/>
          <w:sz w:val="24"/>
          <w:highlight w:val="none"/>
          <w:u w:val="single"/>
          <w:lang w:val="en-US" w:eastAsia="zh-CN"/>
        </w:rPr>
        <w:t xml:space="preserve"> </w:t>
      </w:r>
      <w:bookmarkEnd w:id="17"/>
      <w:bookmarkEnd w:id="18"/>
      <w:r>
        <w:rPr>
          <w:rFonts w:hint="eastAsia" w:ascii="宋体" w:hAnsi="宋体"/>
          <w:color w:val="auto"/>
          <w:sz w:val="24"/>
          <w:highlight w:val="none"/>
          <w:u w:val="single"/>
          <w:lang w:eastAsia="zh-CN"/>
        </w:rPr>
        <w:t>地块二十六热力工程劳务分包采购</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widowControl/>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地块二十六热力工程劳务分包采购</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widowControl/>
        <w:adjustRightInd w:val="0"/>
        <w:snapToGrid w:val="0"/>
        <w:spacing w:line="560" w:lineRule="exact"/>
        <w:ind w:right="28" w:firstLine="628" w:firstLineChars="262"/>
        <w:jc w:val="left"/>
        <w:rPr>
          <w:rFonts w:ascii="宋体" w:hAnsi="宋体"/>
          <w:color w:val="auto"/>
          <w:spacing w:val="10"/>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spacing w:val="10"/>
          <w:kern w:val="0"/>
          <w:sz w:val="24"/>
          <w:highlight w:val="none"/>
        </w:rPr>
        <w:t>；</w:t>
      </w:r>
    </w:p>
    <w:p>
      <w:pPr>
        <w:widowControl/>
        <w:adjustRightInd w:val="0"/>
        <w:snapToGrid w:val="0"/>
        <w:spacing w:line="560" w:lineRule="exact"/>
        <w:ind w:right="28" w:firstLine="628" w:firstLineChars="262"/>
        <w:jc w:val="left"/>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widowControl/>
        <w:adjustRightInd w:val="0"/>
        <w:snapToGrid w:val="0"/>
        <w:spacing w:line="560" w:lineRule="exact"/>
        <w:ind w:right="28" w:firstLine="628" w:firstLineChars="262"/>
        <w:jc w:val="left"/>
        <w:rPr>
          <w:color w:val="auto"/>
          <w:highlight w:val="none"/>
        </w:rPr>
      </w:pPr>
      <w:r>
        <w:rPr>
          <w:rFonts w:hint="eastAsia" w:ascii="宋体" w:hAnsi="宋体"/>
          <w:color w:val="auto"/>
          <w:kern w:val="0"/>
          <w:sz w:val="24"/>
          <w:highlight w:val="none"/>
        </w:rPr>
        <w:t>响应文件有效期：60日历天。</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widowControl/>
        <w:tabs>
          <w:tab w:val="left" w:pos="0"/>
        </w:tabs>
        <w:adjustRightInd w:val="0"/>
        <w:snapToGrid w:val="0"/>
        <w:spacing w:line="5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widowControl/>
        <w:adjustRightInd w:val="0"/>
        <w:snapToGrid w:val="0"/>
        <w:spacing w:line="560" w:lineRule="exact"/>
        <w:jc w:val="left"/>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rPr>
          <w:rFonts w:ascii="宋体" w:hAnsi="宋体"/>
          <w:color w:val="auto"/>
          <w:kern w:val="0"/>
          <w:sz w:val="24"/>
          <w:highlight w:val="none"/>
        </w:rPr>
      </w:pPr>
    </w:p>
    <w:p>
      <w:pPr>
        <w:pStyle w:val="12"/>
        <w:rPr>
          <w:rFonts w:hAnsi="宋体"/>
          <w:color w:val="auto"/>
          <w:kern w:val="0"/>
          <w:highlight w:val="none"/>
        </w:rPr>
      </w:pPr>
    </w:p>
    <w:p>
      <w:pPr>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ascii="宋体" w:hAnsi="宋体"/>
          <w:color w:val="auto"/>
          <w:kern w:val="0"/>
          <w:sz w:val="24"/>
          <w:highlight w:val="none"/>
        </w:rPr>
      </w:pPr>
    </w:p>
    <w:p>
      <w:pPr>
        <w:pStyle w:val="12"/>
        <w:rPr>
          <w:rFonts w:hAnsi="宋体"/>
          <w:color w:val="auto"/>
          <w:kern w:val="0"/>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19" w:name="_Toc10115"/>
      <w:bookmarkStart w:id="20" w:name="_Toc21847"/>
      <w:bookmarkStart w:id="21" w:name="_Toc1445"/>
      <w:bookmarkStart w:id="22" w:name="_Toc7387"/>
      <w:r>
        <w:rPr>
          <w:rFonts w:hint="eastAsia"/>
          <w:bCs w:val="0"/>
          <w:color w:val="auto"/>
          <w:kern w:val="0"/>
          <w:sz w:val="32"/>
          <w:szCs w:val="32"/>
          <w:highlight w:val="none"/>
          <w:lang w:bidi="ar"/>
        </w:rPr>
        <w:t>二、营业执照</w:t>
      </w:r>
      <w:bookmarkEnd w:id="19"/>
      <w:bookmarkEnd w:id="20"/>
      <w:bookmarkEnd w:id="21"/>
      <w:bookmarkEnd w:id="2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3" w:name="_Toc30767"/>
      <w:bookmarkStart w:id="24" w:name="_Toc2164"/>
      <w:bookmarkStart w:id="25" w:name="_Toc21198"/>
      <w:bookmarkStart w:id="26" w:name="_Toc8962"/>
      <w:r>
        <w:rPr>
          <w:rFonts w:hint="eastAsia"/>
          <w:bCs w:val="0"/>
          <w:color w:val="auto"/>
          <w:kern w:val="0"/>
          <w:sz w:val="32"/>
          <w:szCs w:val="32"/>
          <w:highlight w:val="none"/>
          <w:lang w:bidi="ar"/>
        </w:rPr>
        <w:t>三、施工劳务企业资质证书</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13546"/>
      <w:bookmarkStart w:id="28" w:name="_Toc13359"/>
      <w:bookmarkStart w:id="29" w:name="_Toc19454"/>
      <w:bookmarkStart w:id="30" w:name="_Toc21741"/>
      <w:r>
        <w:rPr>
          <w:rFonts w:hint="eastAsia"/>
          <w:bCs w:val="0"/>
          <w:color w:val="auto"/>
          <w:kern w:val="0"/>
          <w:sz w:val="32"/>
          <w:szCs w:val="32"/>
          <w:highlight w:val="none"/>
          <w:lang w:bidi="ar"/>
        </w:rPr>
        <w:t>四、安全生产许可证</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21480"/>
      <w:bookmarkStart w:id="32" w:name="_Toc4606"/>
      <w:bookmarkStart w:id="33" w:name="_Toc21491"/>
      <w:bookmarkStart w:id="34" w:name="_Toc14486"/>
      <w:r>
        <w:rPr>
          <w:rFonts w:hint="eastAsia"/>
          <w:bCs w:val="0"/>
          <w:color w:val="auto"/>
          <w:kern w:val="0"/>
          <w:sz w:val="32"/>
          <w:szCs w:val="32"/>
          <w:highlight w:val="none"/>
          <w:lang w:bidi="ar"/>
        </w:rPr>
        <w:t>五、开户许可证或基本存款账户信息证明</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149"/>
      <w:bookmarkStart w:id="36" w:name="_Toc29609"/>
      <w:bookmarkStart w:id="37" w:name="_Toc3450"/>
      <w:bookmarkStart w:id="38" w:name="_Toc676"/>
      <w:r>
        <w:rPr>
          <w:rFonts w:hint="eastAsia"/>
          <w:bCs w:val="0"/>
          <w:color w:val="auto"/>
          <w:kern w:val="0"/>
          <w:sz w:val="32"/>
          <w:szCs w:val="32"/>
          <w:highlight w:val="none"/>
          <w:lang w:bidi="ar"/>
        </w:rPr>
        <w:t>六、法定代表人身份证明及法定代表人授权委托书</w:t>
      </w:r>
      <w:bookmarkEnd w:id="35"/>
      <w:bookmarkEnd w:id="36"/>
      <w:bookmarkEnd w:id="37"/>
      <w:bookmarkEnd w:id="38"/>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39" w:name="_Toc20831"/>
      <w:bookmarkStart w:id="40" w:name="_Toc5118"/>
      <w:r>
        <w:rPr>
          <w:rFonts w:hint="eastAsia"/>
          <w:bCs w:val="0"/>
          <w:color w:val="auto"/>
          <w:kern w:val="0"/>
          <w:sz w:val="32"/>
          <w:szCs w:val="32"/>
          <w:highlight w:val="none"/>
          <w:lang w:bidi="ar"/>
        </w:rPr>
        <w:t>1.法定代表人身份证明</w:t>
      </w:r>
      <w:bookmarkEnd w:id="39"/>
      <w:bookmarkEnd w:id="40"/>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1" w:name="_Toc27897"/>
      <w:bookmarkStart w:id="42" w:name="_Toc369531698"/>
      <w:bookmarkStart w:id="43" w:name="_Toc352691662"/>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1"/>
      <w:bookmarkEnd w:id="42"/>
      <w:bookmarkEnd w:id="43"/>
      <w:r>
        <w:rPr>
          <w:rFonts w:hint="eastAsia" w:ascii="宋体" w:hAnsi="宋体" w:cs="宋体"/>
          <w:bCs/>
          <w:color w:val="auto"/>
          <w:sz w:val="24"/>
          <w:highlight w:val="none"/>
        </w:rPr>
        <w:t>龄</w:t>
      </w:r>
      <w:bookmarkStart w:id="44" w:name="_Toc15573"/>
      <w:bookmarkStart w:id="45" w:name="_Toc369531699"/>
      <w:bookmarkStart w:id="46" w:name="_Toc352691663"/>
      <w:bookmarkStart w:id="47" w:name="_Toc247527829"/>
      <w:bookmarkStart w:id="48" w:name="_Toc152042578"/>
      <w:bookmarkStart w:id="49" w:name="_Toc247514248"/>
      <w:bookmarkStart w:id="50" w:name="_Toc144974858"/>
      <w:bookmarkStart w:id="51" w:name="_Toc152045789"/>
      <w:bookmarkStart w:id="52" w:name="_Toc361508754"/>
      <w:bookmarkStart w:id="53" w:name="_Toc300835211"/>
      <w:bookmarkStart w:id="54" w:name="_Toc384308377"/>
      <w:r>
        <w:rPr>
          <w:rFonts w:hint="eastAsia" w:ascii="宋体" w:hAnsi="宋体" w:cs="宋体"/>
          <w:bCs/>
          <w:color w:val="auto"/>
          <w:sz w:val="24"/>
          <w:highlight w:val="none"/>
        </w:rPr>
        <w:t>：</w:t>
      </w:r>
      <w:bookmarkEnd w:id="44"/>
      <w:bookmarkEnd w:id="45"/>
      <w:bookmarkEnd w:id="46"/>
      <w:bookmarkEnd w:id="47"/>
      <w:bookmarkEnd w:id="48"/>
      <w:bookmarkEnd w:id="49"/>
      <w:bookmarkEnd w:id="50"/>
      <w:bookmarkEnd w:id="51"/>
      <w:bookmarkEnd w:id="52"/>
      <w:bookmarkEnd w:id="53"/>
      <w:bookmarkEnd w:id="54"/>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5" w:name="_Toc18230"/>
      <w:bookmarkStart w:id="56" w:name="_Toc396236625"/>
      <w:bookmarkStart w:id="57" w:name="_Toc16317"/>
      <w:bookmarkStart w:id="58" w:name="_Toc12389"/>
      <w:bookmarkStart w:id="59" w:name="_Toc13257"/>
      <w:bookmarkStart w:id="60" w:name="_Toc2962"/>
      <w:bookmarkStart w:id="61" w:name="_Toc396236151"/>
      <w:bookmarkStart w:id="62" w:name="_Toc360630804"/>
      <w:bookmarkStart w:id="63" w:name="_Toc27295"/>
      <w:bookmarkStart w:id="64" w:name="_Toc7142"/>
    </w:p>
    <w:p>
      <w:pPr>
        <w:pStyle w:val="6"/>
        <w:jc w:val="center"/>
        <w:rPr>
          <w:bCs w:val="0"/>
          <w:color w:val="auto"/>
          <w:kern w:val="0"/>
          <w:sz w:val="32"/>
          <w:szCs w:val="32"/>
          <w:highlight w:val="none"/>
          <w:lang w:val="zh-CN" w:bidi="ar"/>
        </w:rPr>
      </w:pPr>
      <w:bookmarkStart w:id="65" w:name="_Toc17265"/>
      <w:bookmarkStart w:id="66" w:name="_Toc1346"/>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5"/>
      <w:bookmarkEnd w:id="56"/>
      <w:bookmarkEnd w:id="57"/>
      <w:bookmarkEnd w:id="58"/>
      <w:bookmarkEnd w:id="59"/>
      <w:bookmarkEnd w:id="60"/>
      <w:bookmarkEnd w:id="61"/>
      <w:bookmarkEnd w:id="62"/>
      <w:bookmarkEnd w:id="63"/>
      <w:bookmarkEnd w:id="64"/>
      <w:bookmarkEnd w:id="65"/>
      <w:bookmarkEnd w:id="66"/>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地块二十六热力工程劳务分包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67" w:name="_Toc18023"/>
      <w:bookmarkStart w:id="68" w:name="_Toc28350"/>
      <w:bookmarkStart w:id="69" w:name="_Toc30751"/>
      <w:bookmarkStart w:id="70" w:name="_Toc5105"/>
      <w:r>
        <w:rPr>
          <w:rFonts w:hint="eastAsia"/>
          <w:bCs w:val="0"/>
          <w:color w:val="auto"/>
          <w:kern w:val="0"/>
          <w:sz w:val="32"/>
          <w:szCs w:val="32"/>
          <w:highlight w:val="none"/>
          <w:lang w:bidi="ar"/>
        </w:rPr>
        <w:t>七、供应商基本情况表</w:t>
      </w:r>
      <w:bookmarkEnd w:id="67"/>
      <w:bookmarkEnd w:id="68"/>
      <w:bookmarkEnd w:id="69"/>
      <w:bookmarkEnd w:id="70"/>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1" w:name="_Toc15030"/>
      <w:bookmarkStart w:id="72" w:name="_Toc24831"/>
      <w:bookmarkStart w:id="73" w:name="_Toc2339"/>
      <w:bookmarkStart w:id="74" w:name="_Toc26767"/>
      <w:r>
        <w:rPr>
          <w:rFonts w:hint="eastAsia"/>
          <w:bCs w:val="0"/>
          <w:color w:val="auto"/>
          <w:kern w:val="0"/>
          <w:sz w:val="32"/>
          <w:szCs w:val="32"/>
          <w:highlight w:val="none"/>
          <w:lang w:bidi="ar"/>
        </w:rPr>
        <w:t>八、近三年类似业绩</w:t>
      </w:r>
      <w:bookmarkEnd w:id="71"/>
      <w:bookmarkEnd w:id="72"/>
      <w:bookmarkEnd w:id="73"/>
      <w:bookmarkEnd w:id="7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注：1.公司近三年指：2022年10月01日至今的劳务业绩，以合同签订日期为准；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5" w:name="_Toc17330"/>
      <w:bookmarkStart w:id="76" w:name="_Toc3109"/>
      <w:bookmarkStart w:id="77" w:name="_Toc8006"/>
      <w:bookmarkStart w:id="78" w:name="_Toc11194"/>
      <w:bookmarkStart w:id="79" w:name="_Toc26398"/>
      <w:r>
        <w:rPr>
          <w:rFonts w:hint="eastAsia"/>
          <w:bCs w:val="0"/>
          <w:color w:val="auto"/>
          <w:kern w:val="0"/>
          <w:sz w:val="32"/>
          <w:szCs w:val="32"/>
          <w:highlight w:val="none"/>
          <w:lang w:bidi="ar"/>
        </w:rPr>
        <w:t>九、承诺书</w:t>
      </w:r>
      <w:bookmarkEnd w:id="75"/>
      <w:bookmarkEnd w:id="76"/>
      <w:bookmarkEnd w:id="77"/>
      <w:bookmarkEnd w:id="78"/>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地块二十六热力工程劳务分包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bookmarkStart w:id="87" w:name="_GoBack"/>
      <w:bookmarkEnd w:id="87"/>
      <w:r>
        <w:rPr>
          <w:rFonts w:hint="eastAsia" w:asciiTheme="minorEastAsia" w:hAnsiTheme="minorEastAsia" w:cstheme="minorEastAsia"/>
          <w:b/>
          <w:bCs/>
          <w:color w:val="auto"/>
          <w:sz w:val="24"/>
          <w:highlight w:val="none"/>
        </w:rPr>
        <w:t>。</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pPr>
    </w:p>
    <w:p>
      <w:pPr>
        <w:rPr>
          <w:color w:val="auto"/>
          <w:highlight w:val="none"/>
        </w:rPr>
      </w:pPr>
    </w:p>
    <w:p>
      <w:pPr>
        <w:pStyle w:val="6"/>
        <w:spacing w:line="500" w:lineRule="exact"/>
        <w:jc w:val="center"/>
        <w:rPr>
          <w:bCs w:val="0"/>
          <w:color w:val="auto"/>
          <w:kern w:val="0"/>
          <w:sz w:val="32"/>
          <w:szCs w:val="32"/>
          <w:highlight w:val="none"/>
          <w:lang w:bidi="ar"/>
        </w:rPr>
      </w:pPr>
      <w:bookmarkStart w:id="80" w:name="_Toc23278"/>
      <w:bookmarkStart w:id="81" w:name="_Toc9901"/>
      <w:bookmarkStart w:id="82" w:name="_Toc19356"/>
      <w:bookmarkStart w:id="83" w:name="_Toc2867"/>
      <w:r>
        <w:rPr>
          <w:rFonts w:hint="eastAsia"/>
          <w:bCs w:val="0"/>
          <w:color w:val="auto"/>
          <w:kern w:val="0"/>
          <w:sz w:val="32"/>
          <w:szCs w:val="32"/>
          <w:highlight w:val="none"/>
          <w:lang w:bidi="ar"/>
        </w:rPr>
        <w:t>十、劳务清单报价表</w:t>
      </w:r>
      <w:bookmarkEnd w:id="80"/>
      <w:bookmarkEnd w:id="81"/>
      <w:bookmarkEnd w:id="82"/>
      <w:bookmarkEnd w:id="83"/>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1.车库架空管、室外直埋管及其管件报价包含管件、管道接头保温补口（含材料，不单独报）；二网支吊架包含预埋钢板、化学锚栓、膨胀锚栓（螺丝）、聚四氟乙烯垫；二网基础报价包含钢筋、混凝土等材料费用；</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2.楼道立管报价含管件安装及与户内预留管连接工作，开洞、孔洞修正、扩洞及套管安装，套管内封堵、套管外封堵；立管支架用U型卡、膨胀螺丝等采购及安装费用；立管固定支架材料；</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3.室外直埋管道沟槽开挖报价含所需机械及人工清槽；回填砂含机械、人工、材料；管沟回填包所需机械及材料；余土外运含所需机械降尘抑尘措施（包括土方苫盖、雾炮喷淋、场地清理等费用）；</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4.室外阀门井报价包含按图纸施工所需的全部材料及机械，除铸铁井盖承宏提供，井室保修二年；</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5.本次报价含小型设备就位，大温差机组配合设备厂家就位；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6.本次报价包含第一个供热季的调试及试运行费用、分户过滤器清洗；</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7.包含两个供热季跑冒滴漏维修及管道保温恢复；</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8.本次报价包含可能的协调费、处罚（包含但不限于安全处罚和环保处罚等）、电费（包含发电机）、住宿费、工人保险费、管材到场卸车、倒运、退货等涉及人工机械费用等费用；</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9.本次报价为固定单价，工程量据实结算；</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10.安全文明施工：包含灭火器、土工布、降尘抑尘措施、雾炮车、道路冲洗、围挡、警示标志、标牌、焊烟收集器及个人防护用品等；</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lang w:val="en-US" w:eastAsia="zh-CN"/>
        </w:rPr>
      </w:pPr>
      <w:r>
        <w:rPr>
          <w:rFonts w:hint="eastAsia" w:ascii="Calibri" w:hAnsi="Calibri"/>
          <w:color w:val="auto"/>
          <w:sz w:val="24"/>
          <w:highlight w:val="none"/>
          <w:lang w:val="en-US" w:eastAsia="zh-CN"/>
        </w:rPr>
        <w:t>11.如无特殊情况，领取的材料超过实际用量未退回的，按照甲方采买价格从劳务费中扣除；</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Calibri" w:hAnsi="Calibri"/>
          <w:color w:val="auto"/>
          <w:sz w:val="24"/>
          <w:highlight w:val="none"/>
        </w:rPr>
      </w:pPr>
      <w:r>
        <w:rPr>
          <w:rFonts w:hint="eastAsia" w:ascii="Calibri" w:hAnsi="Calibri"/>
          <w:color w:val="auto"/>
          <w:sz w:val="24"/>
          <w:highlight w:val="none"/>
          <w:lang w:val="en-US" w:eastAsia="zh-CN"/>
        </w:rPr>
        <w:t>12.各项目按图纸要求进行焊口检测，检测合格率要求达到95%以上，如达不到，按返修口60元/片处罚，并且二次检测费用由劳务承担；合格率低于90%的劳务队伍予以清退。</w:t>
      </w: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asciiTheme="minorEastAsia" w:hAnsiTheme="minorEastAsia" w:cstheme="minorEastAsia"/>
          <w:b/>
          <w:bCs/>
          <w:color w:val="auto"/>
          <w:kern w:val="0"/>
          <w:sz w:val="28"/>
          <w:szCs w:val="28"/>
          <w:highlight w:val="none"/>
          <w:lang w:bidi="ar"/>
        </w:rPr>
      </w:pPr>
      <w:bookmarkStart w:id="84" w:name="OLE_LINK4"/>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p>
    <w:p>
      <w:pPr>
        <w:rPr>
          <w:color w:val="auto"/>
          <w:highlight w:val="none"/>
        </w:rPr>
      </w:pPr>
    </w:p>
    <w:bookmarkEnd w:id="79"/>
    <w:bookmarkEnd w:id="84"/>
    <w:p>
      <w:pPr>
        <w:pStyle w:val="6"/>
        <w:numPr>
          <w:ilvl w:val="0"/>
          <w:numId w:val="4"/>
        </w:numPr>
        <w:jc w:val="center"/>
        <w:rPr>
          <w:bCs w:val="0"/>
          <w:color w:val="auto"/>
          <w:kern w:val="0"/>
          <w:sz w:val="32"/>
          <w:szCs w:val="32"/>
          <w:highlight w:val="none"/>
          <w:lang w:bidi="ar"/>
        </w:rPr>
      </w:pPr>
      <w:bookmarkStart w:id="85" w:name="_Toc31424"/>
      <w:r>
        <w:rPr>
          <w:rFonts w:hint="eastAsia"/>
          <w:bCs w:val="0"/>
          <w:color w:val="auto"/>
          <w:kern w:val="0"/>
          <w:sz w:val="32"/>
          <w:szCs w:val="32"/>
          <w:highlight w:val="none"/>
          <w:lang w:bidi="ar"/>
        </w:rPr>
        <w:t>技术方案</w:t>
      </w:r>
      <w:bookmarkEnd w:id="85"/>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附表一 安全文明施工物资设备清单</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yellow"/>
        </w:rPr>
      </w:pPr>
      <w:r>
        <w:rPr>
          <w:rFonts w:hint="eastAsia" w:ascii="宋体" w:hAnsi="宋体"/>
          <w:b/>
          <w:color w:val="auto"/>
          <w:sz w:val="28"/>
          <w:szCs w:val="28"/>
          <w:highlight w:val="none"/>
        </w:rPr>
        <w:t>附表一：安全文明施工物资设备清单</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水泵</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防护栏杆（或围挡）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标准配电箱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照明灯具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警示灯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警戒带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急救箱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灭火器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电焊手套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焊接面罩</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安全绳</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安全帽</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防护服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反光工作服（马甲）</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对讲机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雨鞋、雨衣</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防护手套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pStyle w:val="2"/>
        <w:spacing w:line="340" w:lineRule="exact"/>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2.劳务施工期间严格按照此表配备物资设备，现场随时检查。</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3.此表可根据情况扩展修改。</w:t>
      </w: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86" w:name="_Toc13943"/>
      <w:r>
        <w:rPr>
          <w:rFonts w:hint="eastAsia"/>
          <w:bCs w:val="0"/>
          <w:color w:val="auto"/>
          <w:kern w:val="0"/>
          <w:sz w:val="32"/>
          <w:szCs w:val="32"/>
          <w:highlight w:val="none"/>
          <w:lang w:bidi="ar"/>
        </w:rPr>
        <w:t>十二、其他资料</w:t>
      </w:r>
      <w:bookmarkEnd w:id="86"/>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14F44"/>
    <w:rsid w:val="00046C80"/>
    <w:rsid w:val="000C7118"/>
    <w:rsid w:val="000F50CA"/>
    <w:rsid w:val="000F737F"/>
    <w:rsid w:val="00172A27"/>
    <w:rsid w:val="00202B3E"/>
    <w:rsid w:val="00283357"/>
    <w:rsid w:val="002C4449"/>
    <w:rsid w:val="002D7D5E"/>
    <w:rsid w:val="003179EF"/>
    <w:rsid w:val="003D526B"/>
    <w:rsid w:val="004646DD"/>
    <w:rsid w:val="004F1E85"/>
    <w:rsid w:val="005C0DA9"/>
    <w:rsid w:val="0067722F"/>
    <w:rsid w:val="00691557"/>
    <w:rsid w:val="00697A77"/>
    <w:rsid w:val="006C2C7B"/>
    <w:rsid w:val="006E0BF5"/>
    <w:rsid w:val="006F0AC8"/>
    <w:rsid w:val="00763630"/>
    <w:rsid w:val="007B0777"/>
    <w:rsid w:val="00817E2E"/>
    <w:rsid w:val="008264A6"/>
    <w:rsid w:val="00927258"/>
    <w:rsid w:val="00A95008"/>
    <w:rsid w:val="00AA5946"/>
    <w:rsid w:val="00AD0340"/>
    <w:rsid w:val="00D560C5"/>
    <w:rsid w:val="00DD4667"/>
    <w:rsid w:val="00F431B9"/>
    <w:rsid w:val="0111775B"/>
    <w:rsid w:val="013F09F4"/>
    <w:rsid w:val="0156177E"/>
    <w:rsid w:val="015C66DF"/>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8752A2"/>
    <w:rsid w:val="049D5AFA"/>
    <w:rsid w:val="04D62941"/>
    <w:rsid w:val="04FF037E"/>
    <w:rsid w:val="052B546B"/>
    <w:rsid w:val="054E4957"/>
    <w:rsid w:val="05570B45"/>
    <w:rsid w:val="058017E4"/>
    <w:rsid w:val="05C030DA"/>
    <w:rsid w:val="05C7169D"/>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00AFC"/>
    <w:rsid w:val="09CF1C32"/>
    <w:rsid w:val="09F8206C"/>
    <w:rsid w:val="0A46459A"/>
    <w:rsid w:val="0A740A1D"/>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7C3A"/>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6503D1"/>
    <w:rsid w:val="1469194C"/>
    <w:rsid w:val="14AE6D61"/>
    <w:rsid w:val="14C117D0"/>
    <w:rsid w:val="151439D2"/>
    <w:rsid w:val="15270110"/>
    <w:rsid w:val="15282BA2"/>
    <w:rsid w:val="15491DB4"/>
    <w:rsid w:val="154C06FA"/>
    <w:rsid w:val="15891FD5"/>
    <w:rsid w:val="15C0510A"/>
    <w:rsid w:val="15CA1404"/>
    <w:rsid w:val="15D46CB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B7608B"/>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72D8A"/>
    <w:rsid w:val="231A075E"/>
    <w:rsid w:val="234B5903"/>
    <w:rsid w:val="234D0AD8"/>
    <w:rsid w:val="23560464"/>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82F1C4B"/>
    <w:rsid w:val="386C12AB"/>
    <w:rsid w:val="387C6CD3"/>
    <w:rsid w:val="38BD3C39"/>
    <w:rsid w:val="38CC1E7E"/>
    <w:rsid w:val="38E10C17"/>
    <w:rsid w:val="39072947"/>
    <w:rsid w:val="390F0E67"/>
    <w:rsid w:val="39351138"/>
    <w:rsid w:val="394F514D"/>
    <w:rsid w:val="3961076D"/>
    <w:rsid w:val="39671A73"/>
    <w:rsid w:val="398A6F78"/>
    <w:rsid w:val="398B6DCA"/>
    <w:rsid w:val="3A3C6F5F"/>
    <w:rsid w:val="3A5B15D7"/>
    <w:rsid w:val="3A5D111F"/>
    <w:rsid w:val="3A7B01B9"/>
    <w:rsid w:val="3A84498A"/>
    <w:rsid w:val="3A9453AE"/>
    <w:rsid w:val="3AC9024C"/>
    <w:rsid w:val="3B323F66"/>
    <w:rsid w:val="3B6F42AD"/>
    <w:rsid w:val="3B7C7A57"/>
    <w:rsid w:val="3B826922"/>
    <w:rsid w:val="3B861270"/>
    <w:rsid w:val="3B8F3959"/>
    <w:rsid w:val="3BB261EF"/>
    <w:rsid w:val="3BD15BD6"/>
    <w:rsid w:val="3C0435A9"/>
    <w:rsid w:val="3C436364"/>
    <w:rsid w:val="3C4A598C"/>
    <w:rsid w:val="3C4E2A76"/>
    <w:rsid w:val="3C8D5B9B"/>
    <w:rsid w:val="3C9B2663"/>
    <w:rsid w:val="3CA05C88"/>
    <w:rsid w:val="3CC16B3B"/>
    <w:rsid w:val="3CD411CD"/>
    <w:rsid w:val="3CF278A5"/>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237416"/>
    <w:rsid w:val="46491533"/>
    <w:rsid w:val="4678706D"/>
    <w:rsid w:val="468C4E2B"/>
    <w:rsid w:val="468D762A"/>
    <w:rsid w:val="470C5DCB"/>
    <w:rsid w:val="47105C65"/>
    <w:rsid w:val="47147DDF"/>
    <w:rsid w:val="47555600"/>
    <w:rsid w:val="47567D14"/>
    <w:rsid w:val="476D74B8"/>
    <w:rsid w:val="47943FA1"/>
    <w:rsid w:val="47D86424"/>
    <w:rsid w:val="47D97FDF"/>
    <w:rsid w:val="47DA640E"/>
    <w:rsid w:val="481A1ABE"/>
    <w:rsid w:val="4824202D"/>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500D6A78"/>
    <w:rsid w:val="501C1158"/>
    <w:rsid w:val="50320027"/>
    <w:rsid w:val="503A5697"/>
    <w:rsid w:val="504058BC"/>
    <w:rsid w:val="50827466"/>
    <w:rsid w:val="509067D8"/>
    <w:rsid w:val="5099042C"/>
    <w:rsid w:val="50A82C45"/>
    <w:rsid w:val="50B75F9B"/>
    <w:rsid w:val="50C27555"/>
    <w:rsid w:val="50D40202"/>
    <w:rsid w:val="50D457E8"/>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9002A9B"/>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A5F60"/>
    <w:rsid w:val="603A393A"/>
    <w:rsid w:val="607D5A8D"/>
    <w:rsid w:val="60896B0A"/>
    <w:rsid w:val="60A369FA"/>
    <w:rsid w:val="60A76A75"/>
    <w:rsid w:val="60AF76D8"/>
    <w:rsid w:val="60E4619C"/>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6C337E1"/>
    <w:rsid w:val="672D101A"/>
    <w:rsid w:val="674B6826"/>
    <w:rsid w:val="67DC172E"/>
    <w:rsid w:val="67E422E6"/>
    <w:rsid w:val="67F10937"/>
    <w:rsid w:val="67F40878"/>
    <w:rsid w:val="680A07A4"/>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9A16B0"/>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BF5743"/>
    <w:rsid w:val="711A1BD8"/>
    <w:rsid w:val="714D64DA"/>
    <w:rsid w:val="71A60683"/>
    <w:rsid w:val="71D602F7"/>
    <w:rsid w:val="721F25E6"/>
    <w:rsid w:val="72225F5B"/>
    <w:rsid w:val="72325E8F"/>
    <w:rsid w:val="726310A6"/>
    <w:rsid w:val="727B601C"/>
    <w:rsid w:val="7291547F"/>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A1470D4"/>
    <w:rsid w:val="7A356306"/>
    <w:rsid w:val="7A6E21DA"/>
    <w:rsid w:val="7A842443"/>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3431C"/>
    <w:rsid w:val="7C892AB5"/>
    <w:rsid w:val="7CC876B0"/>
    <w:rsid w:val="7CFA7FFD"/>
    <w:rsid w:val="7D763AFD"/>
    <w:rsid w:val="7D8652D5"/>
    <w:rsid w:val="7DB45ABC"/>
    <w:rsid w:val="7DE95B7F"/>
    <w:rsid w:val="7E191C60"/>
    <w:rsid w:val="7E337833"/>
    <w:rsid w:val="7E452FD4"/>
    <w:rsid w:val="7E461491"/>
    <w:rsid w:val="7E6D4A02"/>
    <w:rsid w:val="7E7F0292"/>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1927</Words>
  <Characters>10986</Characters>
  <Lines>91</Lines>
  <Paragraphs>25</Paragraphs>
  <TotalTime>0</TotalTime>
  <ScaleCrop>false</ScaleCrop>
  <LinksUpToDate>false</LinksUpToDate>
  <CharactersWithSpaces>12888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2025-11-05T02:35:38Z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