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7A06B5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类似工作业绩，最高得10分（合同内容、金额、人员、业绩数量综合评判）</w:t>
            </w:r>
            <w:r>
              <w:rPr>
                <w:rFonts w:hint="eastAsia" w:ascii="宋体" w:hAnsi="宋体" w:eastAsia="宋体" w:cs="宋体"/>
                <w:i w:val="0"/>
                <w:iCs w:val="0"/>
                <w:caps w:val="0"/>
                <w:color w:val="2B2B2B"/>
                <w:spacing w:val="0"/>
                <w:kern w:val="0"/>
                <w:sz w:val="28"/>
                <w:szCs w:val="28"/>
                <w:lang w:val="en-US" w:eastAsia="zh-CN" w:bidi="ar-SA"/>
              </w:rPr>
              <w:t>注：以投标文件中所附合同扫描件为准。</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B6801C4">
            <w:pPr>
              <w:snapToGrid w:val="0"/>
              <w:spacing w:line="240" w:lineRule="auto"/>
              <w:rPr>
                <w:rFonts w:hint="eastAsia" w:ascii="宋体" w:hAnsi="宋体" w:eastAsia="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有效报价的平均价为评标基准价，</w:t>
            </w:r>
            <w:r>
              <w:rPr>
                <w:rFonts w:hint="eastAsia" w:ascii="宋体" w:hAnsi="宋体" w:eastAsia="宋体" w:cs="宋体"/>
                <w:i w:val="0"/>
                <w:iCs w:val="0"/>
                <w:caps w:val="0"/>
                <w:color w:val="2B2B2B"/>
                <w:spacing w:val="0"/>
                <w:kern w:val="0"/>
                <w:sz w:val="28"/>
                <w:szCs w:val="28"/>
                <w:lang w:val="en-US" w:eastAsia="zh-CN" w:bidi="ar-SA"/>
              </w:rPr>
              <w:t>公式计算：投标报价得分=（评标基准价÷</w:t>
            </w:r>
            <w:r>
              <w:rPr>
                <w:rFonts w:hint="eastAsia" w:ascii="宋体" w:hAnsi="宋体" w:cs="宋体"/>
                <w:i w:val="0"/>
                <w:iCs w:val="0"/>
                <w:caps w:val="0"/>
                <w:color w:val="2B2B2B"/>
                <w:spacing w:val="0"/>
                <w:kern w:val="0"/>
                <w:sz w:val="28"/>
                <w:szCs w:val="28"/>
                <w:lang w:val="en-US" w:eastAsia="zh-CN" w:bidi="ar-SA"/>
              </w:rPr>
              <w:t>报</w:t>
            </w:r>
            <w:r>
              <w:rPr>
                <w:rFonts w:hint="eastAsia" w:ascii="宋体" w:hAnsi="宋体" w:eastAsia="宋体" w:cs="宋体"/>
                <w:i w:val="0"/>
                <w:iCs w:val="0"/>
                <w:caps w:val="0"/>
                <w:color w:val="2B2B2B"/>
                <w:spacing w:val="0"/>
                <w:kern w:val="0"/>
                <w:sz w:val="28"/>
                <w:szCs w:val="28"/>
                <w:lang w:val="en-US" w:eastAsia="zh-CN" w:bidi="ar-SA"/>
              </w:rPr>
              <w:t>价）×</w:t>
            </w:r>
            <w:r>
              <w:rPr>
                <w:rFonts w:hint="eastAsia" w:ascii="宋体" w:hAnsi="宋体" w:cs="宋体"/>
                <w:i w:val="0"/>
                <w:iCs w:val="0"/>
                <w:caps w:val="0"/>
                <w:color w:val="2B2B2B"/>
                <w:spacing w:val="0"/>
                <w:kern w:val="0"/>
                <w:sz w:val="28"/>
                <w:szCs w:val="28"/>
                <w:lang w:val="en-US" w:eastAsia="zh-CN" w:bidi="ar-SA"/>
              </w:rPr>
              <w:t>100</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40%</w:t>
            </w:r>
            <w:r>
              <w:rPr>
                <w:rFonts w:hint="eastAsia" w:ascii="宋体" w:hAnsi="宋体" w:eastAsia="宋体" w:cs="宋体"/>
                <w:i w:val="0"/>
                <w:iCs w:val="0"/>
                <w:caps w:val="0"/>
                <w:color w:val="2B2B2B"/>
                <w:spacing w:val="0"/>
                <w:kern w:val="0"/>
                <w:sz w:val="28"/>
                <w:szCs w:val="28"/>
                <w:lang w:val="en-US" w:eastAsia="zh-CN" w:bidi="ar-SA"/>
              </w:rPr>
              <w:t>。</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eastAsia="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w:t>
            </w:r>
            <w:bookmarkStart w:id="0" w:name="_GoBack"/>
            <w:bookmarkEnd w:id="0"/>
            <w:r>
              <w:rPr>
                <w:rFonts w:hint="eastAsia" w:ascii="宋体" w:hAnsi="宋体" w:eastAsia="宋体" w:cs="宋体"/>
                <w:i w:val="0"/>
                <w:iCs w:val="0"/>
                <w:caps w:val="0"/>
                <w:color w:val="2B2B2B"/>
                <w:spacing w:val="0"/>
                <w:kern w:val="0"/>
                <w:sz w:val="28"/>
                <w:szCs w:val="28"/>
                <w:lang w:val="en-US" w:eastAsia="zh-CN" w:bidi="ar-SA"/>
              </w:rPr>
              <w:t>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00E7B92"/>
    <w:rsid w:val="15413D69"/>
    <w:rsid w:val="15B21DF1"/>
    <w:rsid w:val="18047377"/>
    <w:rsid w:val="19BC5A35"/>
    <w:rsid w:val="1B79720A"/>
    <w:rsid w:val="24121230"/>
    <w:rsid w:val="26120C33"/>
    <w:rsid w:val="27E81187"/>
    <w:rsid w:val="2AD76B54"/>
    <w:rsid w:val="2B753C8E"/>
    <w:rsid w:val="2C842A14"/>
    <w:rsid w:val="328D0EB0"/>
    <w:rsid w:val="353A3EAC"/>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598</Characters>
  <Paragraphs>76</Paragraphs>
  <TotalTime>9</TotalTime>
  <ScaleCrop>false</ScaleCrop>
  <LinksUpToDate>false</LinksUpToDate>
  <CharactersWithSpaces>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2025-11-19T02:14:20Z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1DD50C0AFB3844F98B2F70BDDE7C6D03_13</vt:lpwstr>
  </property>
  <property fmtid="{D5CDD505-2E9C-101B-9397-08002B2CF9AE}" pid="4" name="KSOTemplateDocerSaveRecord">
    <vt:lpwstr>eyJoZGlkIjoiOTNkODkyMjRkNDlmOWVlNDk0MjczMzk4ODg1ZGZlM2QiLCJ1c2VySWQiOiIzNDU5NDg5MDUifQ==</vt:lpwstr>
  </property>
</Properties>
</file>