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52"/>
          <w:szCs w:val="52"/>
          <w:highlight w:val="none"/>
          <w:u w:val="single"/>
        </w:rPr>
      </w:pPr>
    </w:p>
    <w:p>
      <w:pPr>
        <w:pStyle w:val="2"/>
        <w:rPr>
          <w:color w:val="auto"/>
          <w:highlight w:val="none"/>
        </w:rPr>
      </w:pPr>
    </w:p>
    <w:p>
      <w:pPr>
        <w:pStyle w:val="12"/>
        <w:rPr>
          <w:color w:val="auto"/>
          <w:highlight w:val="none"/>
        </w:rPr>
      </w:pPr>
    </w:p>
    <w:p>
      <w:pPr>
        <w:pStyle w:val="6"/>
        <w:jc w:val="center"/>
        <w:rPr>
          <w:color w:val="auto"/>
          <w:highlight w:val="none"/>
        </w:rPr>
      </w:pPr>
      <w:r>
        <w:rPr>
          <w:rFonts w:hint="eastAsia" w:cs="宋体"/>
          <w:color w:val="auto"/>
          <w:sz w:val="56"/>
          <w:szCs w:val="56"/>
          <w:highlight w:val="none"/>
          <w:lang w:eastAsia="zh-CN"/>
        </w:rPr>
        <w:t>地块三十商品区东地块劳务分包采购</w:t>
      </w:r>
      <w:r>
        <w:rPr>
          <w:rFonts w:hint="eastAsia" w:cs="宋体"/>
          <w:color w:val="auto"/>
          <w:sz w:val="56"/>
          <w:szCs w:val="56"/>
          <w:highlight w:val="none"/>
        </w:rPr>
        <w:t xml:space="preserve"> </w:t>
      </w:r>
    </w:p>
    <w:p>
      <w:pPr>
        <w:rPr>
          <w:color w:val="auto"/>
          <w:highlight w:val="none"/>
        </w:rPr>
      </w:pPr>
    </w:p>
    <w:p>
      <w:pPr>
        <w:spacing w:line="500" w:lineRule="exact"/>
        <w:jc w:val="center"/>
        <w:rPr>
          <w:rFonts w:ascii="宋体" w:hAnsi="宋体" w:cs="宋体"/>
          <w:b/>
          <w:color w:val="auto"/>
          <w:sz w:val="52"/>
          <w:szCs w:val="52"/>
          <w:highlight w:val="none"/>
        </w:rPr>
      </w:pPr>
    </w:p>
    <w:p>
      <w:pPr>
        <w:pStyle w:val="2"/>
        <w:rPr>
          <w:color w:val="auto"/>
          <w:highlight w:val="none"/>
        </w:rPr>
      </w:pP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比</w:t>
      </w:r>
    </w:p>
    <w:p>
      <w:pPr>
        <w:spacing w:line="360" w:lineRule="auto"/>
        <w:jc w:val="center"/>
        <w:rPr>
          <w:color w:val="auto"/>
          <w:sz w:val="36"/>
          <w:szCs w:val="32"/>
          <w:highlight w:val="none"/>
        </w:rPr>
      </w:pPr>
      <w:r>
        <w:rPr>
          <w:rFonts w:hint="eastAsia" w:ascii="宋体" w:hAnsi="宋体" w:cs="宋体"/>
          <w:b/>
          <w:bCs/>
          <w:color w:val="auto"/>
          <w:sz w:val="72"/>
          <w:szCs w:val="72"/>
          <w:highlight w:val="none"/>
        </w:rPr>
        <w:t>选</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文</w:t>
      </w:r>
    </w:p>
    <w:p>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ascii="宋体" w:hAnsi="宋体" w:cs="宋体"/>
          <w:b/>
          <w:bCs/>
          <w:color w:val="auto"/>
          <w:kern w:val="0"/>
          <w:sz w:val="24"/>
          <w:highlight w:val="none"/>
        </w:rPr>
      </w:pPr>
    </w:p>
    <w:p>
      <w:pPr>
        <w:pStyle w:val="17"/>
        <w:rPr>
          <w:rFonts w:ascii="宋体" w:hAnsi="宋体" w:cs="宋体"/>
          <w:b/>
          <w:bCs/>
          <w:color w:val="auto"/>
          <w:kern w:val="0"/>
          <w:sz w:val="24"/>
          <w:highlight w:val="none"/>
        </w:rPr>
      </w:pPr>
    </w:p>
    <w:p>
      <w:pPr>
        <w:spacing w:line="500" w:lineRule="exact"/>
        <w:jc w:val="center"/>
        <w:rPr>
          <w:rFonts w:ascii="宋体" w:hAnsi="宋体" w:cs="宋体"/>
          <w:b/>
          <w:bCs/>
          <w:color w:val="auto"/>
          <w:sz w:val="28"/>
          <w:szCs w:val="28"/>
          <w:highlight w:val="none"/>
        </w:rPr>
      </w:pPr>
    </w:p>
    <w:p>
      <w:pPr>
        <w:pStyle w:val="2"/>
        <w:rPr>
          <w:color w:val="auto"/>
          <w:highlight w:val="none"/>
        </w:rPr>
      </w:pPr>
    </w:p>
    <w:p>
      <w:pPr>
        <w:spacing w:line="500" w:lineRule="exact"/>
        <w:jc w:val="center"/>
        <w:rPr>
          <w:rFonts w:ascii="宋体" w:hAnsi="宋体" w:cs="宋体"/>
          <w:b/>
          <w:bCs/>
          <w:color w:val="auto"/>
          <w:sz w:val="28"/>
          <w:szCs w:val="28"/>
          <w:highlight w:val="none"/>
        </w:rPr>
      </w:pPr>
    </w:p>
    <w:p>
      <w:pPr>
        <w:spacing w:line="34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比选单位：石家庄承宏工程建设有限公司</w:t>
      </w:r>
    </w:p>
    <w:p>
      <w:pPr>
        <w:spacing w:line="340" w:lineRule="exact"/>
        <w:jc w:val="center"/>
        <w:rPr>
          <w:rFonts w:hAnsi="宋体" w:cs="宋体"/>
          <w:b/>
          <w:bCs/>
          <w:color w:val="auto"/>
          <w:sz w:val="28"/>
          <w:szCs w:val="28"/>
          <w:highlight w:val="none"/>
        </w:rPr>
      </w:pPr>
      <w:r>
        <w:rPr>
          <w:rFonts w:hint="eastAsia" w:ascii="宋体" w:hAnsi="宋体" w:cs="宋体"/>
          <w:b/>
          <w:bCs/>
          <w:color w:val="auto"/>
          <w:sz w:val="28"/>
          <w:szCs w:val="28"/>
          <w:highlight w:val="none"/>
        </w:rPr>
        <w:t xml:space="preserve">          </w:t>
      </w:r>
    </w:p>
    <w:p>
      <w:pPr>
        <w:pStyle w:val="20"/>
        <w:spacing w:line="340" w:lineRule="exact"/>
        <w:ind w:left="0" w:leftChars="0"/>
        <w:jc w:val="center"/>
        <w:rPr>
          <w:rFonts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03</w:t>
      </w:r>
      <w:bookmarkStart w:id="91" w:name="_GoBack"/>
      <w:bookmarkEnd w:id="91"/>
      <w:r>
        <w:rPr>
          <w:rFonts w:hint="eastAsia" w:ascii="宋体" w:hAnsi="宋体" w:cs="宋体"/>
          <w:b/>
          <w:bCs/>
          <w:color w:val="auto"/>
          <w:sz w:val="28"/>
          <w:szCs w:val="28"/>
          <w:highlight w:val="none"/>
        </w:rPr>
        <w:t>月</w:t>
      </w:r>
    </w:p>
    <w:p>
      <w:pPr>
        <w:spacing w:line="340" w:lineRule="exact"/>
        <w:jc w:val="center"/>
        <w:rPr>
          <w:rFonts w:ascii="宋体" w:hAnsi="宋体" w:cs="宋体"/>
          <w:b/>
          <w:bCs/>
          <w:color w:val="auto"/>
          <w:sz w:val="44"/>
          <w:szCs w:val="44"/>
          <w:highlight w:val="none"/>
        </w:rPr>
        <w:sectPr>
          <w:pgSz w:w="11906" w:h="16838"/>
          <w:pgMar w:top="1417" w:right="1417" w:bottom="1417" w:left="1474" w:header="851" w:footer="850" w:gutter="0"/>
          <w:pgNumType w:start="1"/>
          <w:cols w:space="0" w:num="1"/>
          <w:docGrid w:linePitch="312" w:charSpace="0"/>
        </w:sectPr>
      </w:pPr>
    </w:p>
    <w:p>
      <w:pPr>
        <w:pStyle w:val="19"/>
        <w:rPr>
          <w:color w:val="auto"/>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pPr>
        <w:pStyle w:val="6"/>
        <w:rPr>
          <w:rFonts w:cs="宋体"/>
          <w:color w:val="auto"/>
          <w:sz w:val="44"/>
          <w:szCs w:val="44"/>
          <w:highlight w:val="none"/>
        </w:rPr>
      </w:pPr>
    </w:p>
    <w:p>
      <w:pPr>
        <w:pStyle w:val="20"/>
        <w:tabs>
          <w:tab w:val="right" w:leader="dot" w:pos="9015"/>
        </w:tabs>
        <w:spacing w:line="760" w:lineRule="exact"/>
        <w:rPr>
          <w:rFonts w:ascii="宋体" w:hAnsi="宋体" w:cs="宋体"/>
          <w:color w:val="auto"/>
          <w:sz w:val="30"/>
          <w:szCs w:val="30"/>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"_Toc8999" </w:instrText>
      </w:r>
      <w:r>
        <w:rPr>
          <w:color w:val="auto"/>
          <w:highlight w:val="none"/>
        </w:rPr>
        <w:fldChar w:fldCharType="separate"/>
      </w:r>
      <w:r>
        <w:rPr>
          <w:rFonts w:hint="eastAsia" w:ascii="宋体" w:hAnsi="宋体" w:cs="宋体"/>
          <w:color w:val="auto"/>
          <w:sz w:val="30"/>
          <w:szCs w:val="30"/>
          <w:highlight w:val="none"/>
        </w:rPr>
        <w:t>第一章 公开比选采购公告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_Toc8999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eastAsia" w:ascii="宋体" w:hAnsi="宋体" w:cs="宋体"/>
          <w:color w:val="auto"/>
          <w:sz w:val="30"/>
          <w:szCs w:val="30"/>
          <w:highlight w:val="none"/>
        </w:rPr>
        <w:t>第二章 供应商须知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_Toc28349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"_Toc12933" </w:instrText>
      </w:r>
      <w:r>
        <w:rPr>
          <w:color w:val="auto"/>
          <w:highlight w:val="none"/>
        </w:rPr>
        <w:fldChar w:fldCharType="separate"/>
      </w:r>
      <w:r>
        <w:rPr>
          <w:rFonts w:hint="eastAsia" w:ascii="宋体" w:hAnsi="宋体" w:cs="宋体"/>
          <w:color w:val="auto"/>
          <w:sz w:val="30"/>
          <w:szCs w:val="30"/>
          <w:highlight w:val="none"/>
        </w:rPr>
        <w:t>第三章 采购方法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_Toc12933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"_Toc16056" </w:instrText>
      </w:r>
      <w:r>
        <w:rPr>
          <w:color w:val="auto"/>
          <w:highlight w:val="none"/>
        </w:rPr>
        <w:fldChar w:fldCharType="separate"/>
      </w:r>
      <w:r>
        <w:rPr>
          <w:rFonts w:hint="eastAsia" w:ascii="宋体" w:hAnsi="宋体" w:cs="宋体"/>
          <w:color w:val="auto"/>
          <w:sz w:val="30"/>
          <w:szCs w:val="30"/>
          <w:highlight w:val="none"/>
        </w:rPr>
        <w:t>第四章 评审办法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_Toc16056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10</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spacing w:line="76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"_Toc28649" </w:instrText>
      </w:r>
      <w:r>
        <w:rPr>
          <w:color w:val="auto"/>
          <w:highlight w:val="none"/>
        </w:rPr>
        <w:fldChar w:fldCharType="separate"/>
      </w:r>
      <w:r>
        <w:rPr>
          <w:rFonts w:hint="eastAsia" w:ascii="宋体" w:hAnsi="宋体" w:cs="宋体"/>
          <w:color w:val="auto"/>
          <w:sz w:val="30"/>
          <w:szCs w:val="30"/>
          <w:highlight w:val="none"/>
        </w:rPr>
        <w:t>第五章 响应文件格式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PAGEREF _Toc28649 \h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13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fldChar w:fldCharType="end"/>
      </w:r>
    </w:p>
    <w:p>
      <w:pPr>
        <w:pStyle w:val="20"/>
        <w:tabs>
          <w:tab w:val="right" w:leader="dot" w:pos="9015"/>
        </w:tabs>
        <w:rPr>
          <w:color w:val="auto"/>
          <w:highlight w:val="none"/>
        </w:rPr>
      </w:pPr>
    </w:p>
    <w:p>
      <w:pPr>
        <w:pStyle w:val="6"/>
        <w:spacing w:line="740" w:lineRule="exact"/>
        <w:rPr>
          <w:rFonts w:cs="宋体"/>
          <w:color w:val="auto"/>
          <w:highlight w:val="none"/>
        </w:rPr>
      </w:pPr>
      <w:r>
        <w:rPr>
          <w:rFonts w:hint="eastAsia" w:cs="宋体"/>
          <w:color w:val="auto"/>
          <w:szCs w:val="28"/>
          <w:highlight w:val="none"/>
        </w:rPr>
        <w:fldChar w:fldCharType="end"/>
      </w: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6"/>
        <w:rPr>
          <w:rFonts w:cs="宋体"/>
          <w:color w:val="auto"/>
          <w:highlight w:val="none"/>
        </w:rPr>
      </w:pPr>
    </w:p>
    <w:p>
      <w:pPr>
        <w:rPr>
          <w:rFonts w:ascii="宋体" w:hAnsi="宋体" w:cs="宋体"/>
          <w:color w:val="auto"/>
          <w:highlight w:val="none"/>
        </w:rPr>
      </w:pPr>
    </w:p>
    <w:p>
      <w:pPr>
        <w:pStyle w:val="5"/>
        <w:spacing w:after="0" w:line="500" w:lineRule="exact"/>
        <w:rPr>
          <w:rFonts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docGrid w:linePitch="312" w:charSpace="0"/>
        </w:sectPr>
      </w:pPr>
      <w:bookmarkStart w:id="0" w:name="_Toc4327"/>
    </w:p>
    <w:p>
      <w:pPr>
        <w:pStyle w:val="6"/>
        <w:jc w:val="center"/>
        <w:rPr>
          <w:color w:val="auto"/>
          <w:sz w:val="36"/>
          <w:szCs w:val="36"/>
          <w:highlight w:val="none"/>
        </w:rPr>
      </w:pPr>
      <w:bookmarkStart w:id="1" w:name="_Toc8999"/>
      <w:r>
        <w:rPr>
          <w:rFonts w:hint="eastAsia"/>
          <w:color w:val="auto"/>
          <w:sz w:val="36"/>
          <w:szCs w:val="36"/>
          <w:highlight w:val="none"/>
        </w:rPr>
        <w:t>第一章 公开比选采购公告</w:t>
      </w:r>
      <w:bookmarkEnd w:id="0"/>
      <w:bookmarkEnd w:id="1"/>
    </w:p>
    <w:p>
      <w:pPr>
        <w:spacing w:line="52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地块三十商品区东地块劳务分包采购</w:t>
      </w:r>
      <w:r>
        <w:rPr>
          <w:rFonts w:hint="eastAsia" w:ascii="宋体" w:hAnsi="宋体" w:cs="宋体"/>
          <w:b/>
          <w:bCs/>
          <w:color w:val="auto"/>
          <w:sz w:val="28"/>
          <w:szCs w:val="28"/>
          <w:highlight w:val="none"/>
        </w:rPr>
        <w:t>公开比选采购公告</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项目名称：</w:t>
      </w:r>
      <w:r>
        <w:rPr>
          <w:rFonts w:hint="eastAsia" w:ascii="宋体" w:hAnsi="宋体" w:cs="宋体"/>
          <w:color w:val="auto"/>
          <w:sz w:val="24"/>
          <w:highlight w:val="none"/>
          <w:lang w:eastAsia="zh-CN"/>
        </w:rPr>
        <w:t>地块三十商品区东地块劳务分包采购</w:t>
      </w:r>
      <w:r>
        <w:rPr>
          <w:rFonts w:hint="eastAsia" w:ascii="宋体" w:hAnsi="宋体" w:cs="宋体"/>
          <w:color w:val="auto"/>
          <w:sz w:val="24"/>
          <w:highlight w:val="none"/>
        </w:rPr>
        <w:t xml:space="preserve"> </w:t>
      </w:r>
    </w:p>
    <w:p>
      <w:pPr>
        <w:numPr>
          <w:ilvl w:val="0"/>
          <w:numId w:val="1"/>
        </w:num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项目地点：</w:t>
      </w:r>
      <w:r>
        <w:rPr>
          <w:rFonts w:hint="eastAsia" w:ascii="宋体" w:hAnsi="宋体" w:cs="宋体"/>
          <w:color w:val="auto"/>
          <w:sz w:val="24"/>
          <w:highlight w:val="none"/>
        </w:rPr>
        <w:t>石家庄市</w:t>
      </w:r>
    </w:p>
    <w:p>
      <w:pPr>
        <w:spacing w:line="520" w:lineRule="exact"/>
        <w:ind w:firstLine="482" w:firstLineChars="200"/>
        <w:rPr>
          <w:color w:val="auto"/>
          <w:highlight w:val="none"/>
        </w:rPr>
      </w:pPr>
      <w:r>
        <w:rPr>
          <w:rFonts w:hint="eastAsia" w:ascii="宋体" w:hAnsi="宋体" w:cs="宋体"/>
          <w:b/>
          <w:bCs/>
          <w:color w:val="auto"/>
          <w:sz w:val="24"/>
          <w:highlight w:val="none"/>
        </w:rPr>
        <w:t>三、采购范围：</w:t>
      </w:r>
      <w:r>
        <w:rPr>
          <w:rFonts w:hint="eastAsia" w:ascii="宋体" w:hAnsi="宋体" w:cs="宋体"/>
          <w:color w:val="auto"/>
          <w:sz w:val="24"/>
          <w:highlight w:val="none"/>
          <w:lang w:eastAsia="zh-CN"/>
        </w:rPr>
        <w:t>地块三十商品区东地块</w:t>
      </w:r>
      <w:r>
        <w:rPr>
          <w:rFonts w:hint="eastAsia" w:ascii="宋体" w:hAnsi="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cs="宋体"/>
          <w:b/>
          <w:bCs/>
          <w:color w:val="auto"/>
          <w:sz w:val="24"/>
          <w:highlight w:val="none"/>
        </w:rPr>
        <w:t>四、工期：</w:t>
      </w:r>
      <w:r>
        <w:rPr>
          <w:rFonts w:hint="eastAsia" w:ascii="宋体" w:hAnsi="宋体" w:cs="宋体"/>
          <w:b w:val="0"/>
          <w:bCs w:val="0"/>
          <w:color w:val="auto"/>
          <w:sz w:val="24"/>
          <w:highlight w:val="none"/>
          <w:lang w:val="en-US" w:eastAsia="zh-CN"/>
        </w:rPr>
        <w:t>随主体进度要求</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五、质量标准：</w:t>
      </w:r>
      <w:r>
        <w:rPr>
          <w:rFonts w:hint="eastAsia" w:ascii="宋体" w:hAnsi="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cs="宋体"/>
          <w:color w:val="auto"/>
          <w:sz w:val="24"/>
          <w:highlight w:val="none"/>
          <w:shd w:val="clear" w:color="auto" w:fill="FFFFFF"/>
        </w:rPr>
      </w:pPr>
      <w:r>
        <w:rPr>
          <w:rFonts w:hint="eastAsia" w:ascii="宋体" w:hAnsi="宋体" w:cs="宋体"/>
          <w:b/>
          <w:bCs/>
          <w:color w:val="auto"/>
          <w:sz w:val="24"/>
          <w:highlight w:val="none"/>
        </w:rPr>
        <w:t>六、标段划分：</w:t>
      </w:r>
      <w:r>
        <w:rPr>
          <w:rFonts w:hint="eastAsia" w:ascii="宋体" w:hAnsi="宋体" w:cs="宋体"/>
          <w:color w:val="auto"/>
          <w:sz w:val="24"/>
          <w:highlight w:val="none"/>
          <w:shd w:val="clear" w:color="auto" w:fill="FFFFFF"/>
        </w:rPr>
        <w:t>共</w:t>
      </w:r>
      <w:r>
        <w:rPr>
          <w:rFonts w:hint="eastAsia" w:ascii="宋体" w:hAnsi="宋体" w:cs="宋体"/>
          <w:color w:val="auto"/>
          <w:sz w:val="24"/>
          <w:highlight w:val="none"/>
          <w:shd w:val="clear" w:color="auto" w:fill="FFFFFF"/>
          <w:lang w:val="en-US" w:eastAsia="zh-CN"/>
        </w:rPr>
        <w:t>一</w:t>
      </w:r>
      <w:r>
        <w:rPr>
          <w:rFonts w:hint="eastAsia" w:ascii="宋体" w:hAnsi="宋体" w:cs="宋体"/>
          <w:color w:val="auto"/>
          <w:sz w:val="24"/>
          <w:highlight w:val="none"/>
          <w:shd w:val="clear" w:color="auto" w:fill="FFFFFF"/>
        </w:rPr>
        <w:t>个标段。</w:t>
      </w:r>
    </w:p>
    <w:p>
      <w:pPr>
        <w:spacing w:line="52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 xml:space="preserve">供应商资格要求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1.</w:t>
      </w:r>
      <w:r>
        <w:rPr>
          <w:rFonts w:hint="eastAsia" w:ascii="宋体" w:hAnsi="宋体" w:cs="宋体"/>
          <w:color w:val="auto"/>
          <w:sz w:val="24"/>
          <w:highlight w:val="none"/>
          <w:shd w:val="clear" w:color="auto" w:fill="FFFFFF"/>
        </w:rPr>
        <w:t>具有独立承担民事责任的能力；</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3.具有</w:t>
      </w:r>
      <w:bookmarkStart w:id="2" w:name="OLE_LINK2"/>
      <w:r>
        <w:rPr>
          <w:rFonts w:hint="eastAsia" w:ascii="宋体" w:hAnsi="宋体" w:cs="宋体"/>
          <w:color w:val="auto"/>
          <w:sz w:val="24"/>
          <w:highlight w:val="none"/>
          <w:shd w:val="clear" w:color="auto" w:fill="FFFFFF"/>
        </w:rPr>
        <w:t>有效的安全生产许可证</w:t>
      </w:r>
      <w:bookmarkEnd w:id="2"/>
      <w:r>
        <w:rPr>
          <w:rFonts w:hint="eastAsia" w:ascii="宋体" w:hAnsi="宋体" w:cs="宋体"/>
          <w:color w:val="auto"/>
          <w:sz w:val="24"/>
          <w:highlight w:val="none"/>
          <w:shd w:val="clear" w:color="auto" w:fill="FFFFFF"/>
        </w:rPr>
        <w:t>；</w:t>
      </w:r>
    </w:p>
    <w:p>
      <w:pPr>
        <w:pStyle w:val="12"/>
        <w:spacing w:line="520" w:lineRule="exact"/>
        <w:ind w:firstLine="480" w:firstLineChars="200"/>
        <w:rPr>
          <w:rFonts w:hAnsi="宋体" w:cs="宋体"/>
          <w:color w:val="auto"/>
          <w:szCs w:val="24"/>
          <w:highlight w:val="none"/>
          <w:shd w:val="clear" w:color="auto" w:fill="FFFFFF"/>
        </w:rPr>
      </w:pPr>
      <w:r>
        <w:rPr>
          <w:rFonts w:hint="eastAsia" w:hAnsi="宋体" w:cs="宋体"/>
          <w:color w:val="auto"/>
          <w:szCs w:val="24"/>
          <w:highlight w:val="none"/>
          <w:shd w:val="clear" w:color="auto" w:fill="FFFFFF"/>
        </w:rPr>
        <w:t>4.未被“信用中国”网站列入</w:t>
      </w:r>
      <w:bookmarkStart w:id="3" w:name="OLE_LINK3"/>
      <w:r>
        <w:rPr>
          <w:rFonts w:hint="eastAsia" w:hAnsi="宋体" w:cs="宋体"/>
          <w:color w:val="auto"/>
          <w:szCs w:val="24"/>
          <w:highlight w:val="none"/>
          <w:shd w:val="clear" w:color="auto" w:fill="FFFFFF"/>
        </w:rPr>
        <w:t>失信被执行人名单</w:t>
      </w:r>
      <w:bookmarkEnd w:id="3"/>
      <w:r>
        <w:rPr>
          <w:rFonts w:hint="eastAsia" w:hAnsi="宋体" w:cs="宋体"/>
          <w:color w:val="auto"/>
          <w:szCs w:val="24"/>
          <w:highlight w:val="none"/>
          <w:shd w:val="clear" w:color="auto" w:fill="FFFFFF"/>
        </w:rPr>
        <w:t>。（信用中国</w:t>
      </w:r>
      <w:bookmarkStart w:id="4" w:name="OLE_LINK1"/>
      <w:r>
        <w:rPr>
          <w:rFonts w:hint="eastAsia" w:hAnsi="宋体" w:cs="宋体"/>
          <w:color w:val="auto"/>
          <w:szCs w:val="24"/>
          <w:highlight w:val="none"/>
          <w:shd w:val="clear" w:color="auto" w:fill="FFFFFF"/>
        </w:rPr>
        <w:fldChar w:fldCharType="begin"/>
      </w:r>
      <w:r>
        <w:rPr>
          <w:rFonts w:hint="eastAsia" w:hAnsi="宋体" w:cs="宋体"/>
          <w:color w:val="auto"/>
          <w:szCs w:val="24"/>
          <w:highlight w:val="none"/>
          <w:shd w:val="clear" w:color="auto" w:fill="FFFFFF"/>
        </w:rPr>
        <w:instrText xml:space="preserve"> HYPERLINK "https://www.creditchina.gov.cn/" </w:instrText>
      </w:r>
      <w:r>
        <w:rPr>
          <w:rFonts w:hint="eastAsia" w:hAnsi="宋体" w:cs="宋体"/>
          <w:color w:val="auto"/>
          <w:szCs w:val="24"/>
          <w:highlight w:val="none"/>
          <w:shd w:val="clear" w:color="auto" w:fill="FFFFFF"/>
        </w:rPr>
        <w:fldChar w:fldCharType="separate"/>
      </w:r>
      <w:r>
        <w:rPr>
          <w:rFonts w:hint="eastAsia" w:hAnsi="宋体" w:cs="宋体"/>
          <w:color w:val="auto"/>
          <w:szCs w:val="24"/>
          <w:highlight w:val="none"/>
          <w:shd w:val="clear" w:color="auto" w:fill="FFFFFF"/>
        </w:rPr>
        <w:t>https://www.creditchina.gov.cn/</w:t>
      </w:r>
      <w:r>
        <w:rPr>
          <w:rFonts w:hint="eastAsia" w:hAnsi="宋体" w:cs="宋体"/>
          <w:color w:val="auto"/>
          <w:szCs w:val="24"/>
          <w:highlight w:val="none"/>
          <w:shd w:val="clear" w:color="auto" w:fill="FFFFFF"/>
        </w:rPr>
        <w:fldChar w:fldCharType="end"/>
      </w:r>
      <w:bookmarkEnd w:id="4"/>
      <w:r>
        <w:rPr>
          <w:rFonts w:hint="eastAsia" w:hAnsi="宋体" w:cs="宋体"/>
          <w:color w:val="auto"/>
          <w:szCs w:val="24"/>
          <w:highlight w:val="none"/>
          <w:shd w:val="clear" w:color="auto" w:fill="FFFFFF"/>
        </w:rPr>
        <w:t>查询）；</w:t>
      </w:r>
    </w:p>
    <w:p>
      <w:pPr>
        <w:spacing w:line="52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shd w:val="clear" w:color="auto" w:fill="FFFFFF"/>
        </w:rPr>
        <w:t>6.参加本项目比选的</w:t>
      </w:r>
      <w:r>
        <w:rPr>
          <w:rFonts w:hint="eastAsia" w:ascii="宋体" w:hAnsi="宋体" w:cs="宋体"/>
          <w:color w:val="auto"/>
          <w:sz w:val="24"/>
          <w:highlight w:val="none"/>
        </w:rPr>
        <w:t>供应商</w:t>
      </w:r>
      <w:r>
        <w:rPr>
          <w:rFonts w:hint="eastAsia" w:ascii="宋体" w:hAnsi="宋体" w:cs="宋体"/>
          <w:color w:val="auto"/>
          <w:sz w:val="24"/>
          <w:highlight w:val="none"/>
          <w:shd w:val="clear" w:color="auto" w:fill="FFFFFF"/>
        </w:rPr>
        <w:t>应为石家庄承宏工程建设有限公司入库成员。</w:t>
      </w:r>
      <w:r>
        <w:rPr>
          <w:rFonts w:hint="eastAsia" w:ascii="宋体" w:hAnsi="宋体" w:cs="宋体"/>
          <w:color w:val="auto"/>
          <w:sz w:val="24"/>
          <w:highlight w:val="none"/>
        </w:rPr>
        <w:t xml:space="preserve">                                                </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、公开比选采购文件的获取</w:t>
      </w:r>
    </w:p>
    <w:p>
      <w:pPr>
        <w:widowControl/>
        <w:spacing w:line="520" w:lineRule="exact"/>
        <w:ind w:right="-110" w:firstLine="420" w:firstLineChars="200"/>
        <w:jc w:val="left"/>
        <w:rPr>
          <w:rFonts w:ascii="宋体" w:hAnsi="宋体" w:cs="宋体"/>
          <w:b/>
          <w:bCs/>
          <w:color w:val="auto"/>
          <w:sz w:val="24"/>
          <w:highlight w:val="none"/>
          <w:u w:val="none"/>
        </w:rPr>
      </w:pPr>
      <w:r>
        <w:rPr>
          <w:color w:val="auto"/>
          <w:highlight w:val="none"/>
          <w:u w:val="none"/>
        </w:rPr>
        <w:fldChar w:fldCharType="begin"/>
      </w:r>
      <w:r>
        <w:rPr>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color w:val="auto"/>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rPr>
        <w:t>如确认参加此次比选，需在202</w:t>
      </w:r>
      <w:r>
        <w:rPr>
          <w:rStyle w:val="26"/>
          <w:rFonts w:hint="eastAsia" w:ascii="宋体" w:hAnsi="宋体" w:cs="宋体"/>
          <w:b/>
          <w:bCs/>
          <w:color w:val="auto"/>
          <w:sz w:val="24"/>
          <w:highlight w:val="none"/>
          <w:u w:val="none"/>
          <w:lang w:val="en-US" w:eastAsia="zh-CN"/>
        </w:rPr>
        <w:t>6</w:t>
      </w:r>
      <w:r>
        <w:rPr>
          <w:rStyle w:val="26"/>
          <w:rFonts w:hint="eastAsia" w:ascii="宋体" w:hAnsi="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03</w:t>
      </w:r>
      <w:r>
        <w:rPr>
          <w:rStyle w:val="26"/>
          <w:rFonts w:hint="eastAsia" w:ascii="宋体" w:hAnsi="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05</w:t>
      </w:r>
      <w:r>
        <w:rPr>
          <w:rStyle w:val="26"/>
          <w:rFonts w:hint="eastAsia" w:ascii="宋体" w:hAnsi="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cs="宋体"/>
          <w:b/>
          <w:bCs/>
          <w:color w:val="auto"/>
          <w:sz w:val="24"/>
          <w:highlight w:val="none"/>
          <w:u w:val="none"/>
        </w:rPr>
        <w:t>时前将确认参加比选回执函（详见附件）发送到邮箱grchhgk@163.com</w:t>
      </w:r>
      <w:r>
        <w:rPr>
          <w:rStyle w:val="26"/>
          <w:rFonts w:hint="eastAsia" w:ascii="宋体" w:hAnsi="宋体" w:cs="宋体"/>
          <w:b/>
          <w:bCs/>
          <w:color w:val="auto"/>
          <w:sz w:val="24"/>
          <w:highlight w:val="none"/>
          <w:u w:val="none"/>
        </w:rPr>
        <w:fldChar w:fldCharType="end"/>
      </w:r>
      <w:r>
        <w:rPr>
          <w:rFonts w:hint="eastAsia" w:ascii="宋体" w:hAnsi="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、响应文件的递交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1.响应文件递交截止时间：2026年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 分（北京时间）。</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color w:val="auto"/>
          <w:highlight w:val="none"/>
        </w:rPr>
      </w:pPr>
      <w:r>
        <w:rPr>
          <w:rFonts w:hint="eastAsia" w:hAnsi="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ascii="宋体" w:hAnsi="宋体" w:cs="宋体"/>
          <w:b/>
          <w:bCs/>
          <w:color w:val="auto"/>
          <w:kern w:val="2"/>
          <w:highlight w:val="none"/>
        </w:rPr>
      </w:pPr>
      <w:r>
        <w:rPr>
          <w:rFonts w:hint="eastAsia" w:ascii="宋体" w:hAnsi="宋体" w:cs="宋体"/>
          <w:b/>
          <w:bCs/>
          <w:color w:val="auto"/>
          <w:kern w:val="2"/>
          <w:highlight w:val="none"/>
          <w:lang w:val="en-US" w:eastAsia="zh-CN"/>
        </w:rPr>
        <w:t>十</w:t>
      </w:r>
      <w:r>
        <w:rPr>
          <w:rFonts w:hint="eastAsia" w:ascii="宋体" w:hAnsi="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ascii="宋体" w:hAnsi="宋体" w:cs="宋体"/>
          <w:color w:val="auto"/>
          <w:highlight w:val="none"/>
        </w:rPr>
      </w:pPr>
      <w:r>
        <w:rPr>
          <w:rFonts w:hint="eastAsia" w:ascii="宋体" w:hAnsi="宋体" w:cs="宋体"/>
          <w:color w:val="auto"/>
          <w:kern w:val="2"/>
          <w:highlight w:val="none"/>
        </w:rPr>
        <w:t>本次比选公告在石家庄市供热管理集团有限公司官网https://www.sjzsgrjt.com/上发布。</w:t>
      </w:r>
    </w:p>
    <w:p>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、联系方式</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比选单位：石家庄承宏工程建设有限公司 </w:t>
      </w:r>
    </w:p>
    <w:p>
      <w:pPr>
        <w:spacing w:line="520" w:lineRule="exact"/>
        <w:ind w:firstLine="480" w:firstLineChars="200"/>
        <w:rPr>
          <w:color w:val="auto"/>
          <w:highlight w:val="none"/>
        </w:rPr>
      </w:pPr>
      <w:r>
        <w:rPr>
          <w:rFonts w:hint="eastAsia" w:ascii="宋体" w:hAnsi="宋体" w:cs="宋体"/>
          <w:color w:val="auto"/>
          <w:sz w:val="24"/>
          <w:highlight w:val="none"/>
        </w:rPr>
        <w:t>地址：石家庄市和平东路751号东配楼</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联系人：郑美燕</w:t>
      </w:r>
    </w:p>
    <w:p>
      <w:pPr>
        <w:pStyle w:val="20"/>
        <w:spacing w:line="52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电 话：0311-80901033</w:t>
      </w:r>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 xml:space="preserve">                                                    </w:t>
      </w: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7"/>
        <w:spacing w:line="520" w:lineRule="exact"/>
        <w:rPr>
          <w:rFonts w:ascii="宋体" w:hAnsi="宋体" w:cs="宋体"/>
          <w:color w:val="auto"/>
          <w:sz w:val="24"/>
          <w:highlight w:val="none"/>
        </w:rPr>
      </w:pPr>
    </w:p>
    <w:p>
      <w:pPr>
        <w:pStyle w:val="12"/>
        <w:rPr>
          <w:color w:val="auto"/>
          <w:highlight w:val="none"/>
        </w:rPr>
      </w:pPr>
      <w:bookmarkStart w:id="5" w:name="_Toc26879"/>
    </w:p>
    <w:p>
      <w:pPr>
        <w:pStyle w:val="17"/>
        <w:spacing w:line="520" w:lineRule="exact"/>
        <w:rPr>
          <w:rFonts w:ascii="宋体" w:hAnsi="宋体" w:cs="宋体"/>
          <w:color w:val="auto"/>
          <w:sz w:val="24"/>
          <w:highlight w:val="none"/>
        </w:rPr>
      </w:pPr>
      <w:r>
        <w:rPr>
          <w:rFonts w:hint="eastAsia" w:ascii="宋体" w:hAnsi="宋体" w:cs="宋体"/>
          <w:color w:val="auto"/>
          <w:sz w:val="24"/>
          <w:highlight w:val="none"/>
        </w:rPr>
        <w:t>附件：确认参加比选回执函</w:t>
      </w:r>
    </w:p>
    <w:p>
      <w:pPr>
        <w:pStyle w:val="6"/>
        <w:jc w:val="center"/>
        <w:rPr>
          <w:rFonts w:cs="宋体"/>
          <w:color w:val="auto"/>
          <w:sz w:val="36"/>
          <w:szCs w:val="36"/>
          <w:highlight w:val="none"/>
        </w:rPr>
      </w:pPr>
    </w:p>
    <w:p>
      <w:pPr>
        <w:pStyle w:val="6"/>
        <w:jc w:val="center"/>
        <w:rPr>
          <w:rFonts w:cs="宋体"/>
          <w:color w:val="auto"/>
          <w:sz w:val="36"/>
          <w:szCs w:val="36"/>
          <w:highlight w:val="none"/>
        </w:rPr>
      </w:pPr>
      <w:bookmarkStart w:id="6" w:name="_Toc25146"/>
      <w:r>
        <w:rPr>
          <w:rFonts w:hint="eastAsia" w:cs="宋体"/>
          <w:color w:val="auto"/>
          <w:sz w:val="36"/>
          <w:szCs w:val="36"/>
          <w:highlight w:val="none"/>
        </w:rPr>
        <w:t>确认参加比选回执函</w:t>
      </w:r>
      <w:bookmarkEnd w:id="6"/>
    </w:p>
    <w:p>
      <w:pPr>
        <w:rPr>
          <w:color w:val="auto"/>
          <w:highlight w:val="none"/>
        </w:rPr>
      </w:pPr>
    </w:p>
    <w:p>
      <w:pPr>
        <w:pStyle w:val="6"/>
        <w:spacing w:line="560" w:lineRule="exact"/>
        <w:jc w:val="left"/>
        <w:rPr>
          <w:rFonts w:cs="宋体"/>
          <w:color w:val="auto"/>
          <w:sz w:val="28"/>
          <w:szCs w:val="28"/>
          <w:highlight w:val="none"/>
        </w:rPr>
      </w:pPr>
      <w:bookmarkStart w:id="7" w:name="_Toc28397"/>
      <w:r>
        <w:rPr>
          <w:rFonts w:hint="eastAsia" w:cs="宋体"/>
          <w:color w:val="auto"/>
          <w:sz w:val="28"/>
          <w:szCs w:val="28"/>
          <w:highlight w:val="none"/>
        </w:rPr>
        <w:t>石家庄承宏工程建设有限公司：</w:t>
      </w:r>
      <w:bookmarkEnd w:id="7"/>
    </w:p>
    <w:p>
      <w:pPr>
        <w:spacing w:line="56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我单位</w:t>
      </w:r>
      <w:r>
        <w:rPr>
          <w:rFonts w:hint="eastAsia" w:ascii="宋体" w:hAnsi="宋体" w:cs="宋体"/>
          <w:color w:val="auto"/>
          <w:kern w:val="0"/>
          <w:sz w:val="28"/>
          <w:szCs w:val="28"/>
          <w:highlight w:val="none"/>
          <w:u w:val="single"/>
        </w:rPr>
        <w:t xml:space="preserve">      （单位名称）         </w:t>
      </w:r>
      <w:r>
        <w:rPr>
          <w:rFonts w:hint="eastAsia" w:ascii="宋体" w:hAnsi="宋体" w:cs="宋体"/>
          <w:color w:val="auto"/>
          <w:kern w:val="0"/>
          <w:sz w:val="28"/>
          <w:szCs w:val="28"/>
          <w:highlight w:val="none"/>
        </w:rPr>
        <w:t>已获取贵方</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 xml:space="preserve">地块三十商品区东地块劳务分包采购 </w:t>
      </w:r>
      <w:r>
        <w:rPr>
          <w:rFonts w:hint="eastAsia" w:ascii="宋体" w:hAnsi="宋体" w:cs="宋体"/>
          <w:color w:val="auto"/>
          <w:sz w:val="28"/>
          <w:szCs w:val="28"/>
          <w:highlight w:val="none"/>
          <w:u w:val="single"/>
        </w:rPr>
        <w:t xml:space="preserve"> </w:t>
      </w:r>
      <w:r>
        <w:rPr>
          <w:rFonts w:hint="eastAsia" w:ascii="宋体" w:hAnsi="宋体" w:cs="宋体"/>
          <w:color w:val="auto"/>
          <w:kern w:val="0"/>
          <w:sz w:val="28"/>
          <w:szCs w:val="28"/>
          <w:highlight w:val="none"/>
        </w:rPr>
        <w:t>公开比选采购文件，经详细研究，我单位决定按时参加该项目比选。</w:t>
      </w: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rPr>
          <w:color w:val="auto"/>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spacing w:line="560" w:lineRule="exact"/>
        <w:rPr>
          <w:rFonts w:ascii="宋体" w:hAnsi="宋体" w:cs="宋体"/>
          <w:color w:val="auto"/>
          <w:kern w:val="0"/>
          <w:sz w:val="28"/>
          <w:szCs w:val="28"/>
          <w:highlight w:val="none"/>
        </w:rPr>
      </w:pPr>
    </w:p>
    <w:p>
      <w:pPr>
        <w:pStyle w:val="12"/>
        <w:spacing w:line="560" w:lineRule="exact"/>
        <w:rPr>
          <w:rFonts w:hAnsi="宋体" w:cs="宋体"/>
          <w:color w:val="auto"/>
          <w:kern w:val="0"/>
          <w:sz w:val="28"/>
          <w:szCs w:val="28"/>
          <w:highlight w:val="none"/>
        </w:rPr>
      </w:pPr>
    </w:p>
    <w:p>
      <w:pPr>
        <w:rPr>
          <w:rFonts w:ascii="宋体" w:hAnsi="宋体" w:cs="宋体"/>
          <w:color w:val="auto"/>
          <w:kern w:val="0"/>
          <w:sz w:val="28"/>
          <w:szCs w:val="28"/>
          <w:highlight w:val="none"/>
        </w:rPr>
      </w:pPr>
    </w:p>
    <w:p>
      <w:pPr>
        <w:pStyle w:val="2"/>
        <w:rPr>
          <w:rFonts w:ascii="宋体" w:hAnsi="宋体" w:cs="宋体"/>
          <w:color w:val="auto"/>
          <w:kern w:val="0"/>
          <w:szCs w:val="28"/>
          <w:highlight w:val="none"/>
        </w:rPr>
      </w:pPr>
    </w:p>
    <w:p>
      <w:pPr>
        <w:rPr>
          <w:color w:val="auto"/>
          <w:highlight w:val="none"/>
        </w:rPr>
      </w:pPr>
    </w:p>
    <w:p>
      <w:pPr>
        <w:topLinePunct/>
        <w:spacing w:line="560" w:lineRule="exact"/>
        <w:ind w:right="-307" w:rightChars="-146" w:firstLine="3640" w:firstLineChars="1300"/>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color w:val="auto"/>
          <w:sz w:val="28"/>
          <w:szCs w:val="28"/>
          <w:highlight w:val="none"/>
        </w:rPr>
        <w:t>响应单位：</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（盖单位章）</w:t>
      </w:r>
    </w:p>
    <w:p>
      <w:pPr>
        <w:widowControl/>
        <w:adjustRightInd w:val="0"/>
        <w:snapToGrid w:val="0"/>
        <w:spacing w:line="560" w:lineRule="exact"/>
        <w:ind w:firstLine="3640" w:firstLineChars="1300"/>
        <w:rPr>
          <w:rFonts w:ascii="宋体" w:hAnsi="宋体" w:cs="宋体"/>
          <w:color w:val="auto"/>
          <w:kern w:val="0"/>
          <w:sz w:val="28"/>
          <w:szCs w:val="28"/>
          <w:highlight w:val="none"/>
        </w:rPr>
      </w:pPr>
      <w:r>
        <w:rPr>
          <w:rFonts w:hint="eastAsia" w:ascii="宋体" w:hAnsi="宋体" w:cs="宋体"/>
          <w:color w:val="auto"/>
          <w:sz w:val="28"/>
          <w:szCs w:val="28"/>
          <w:highlight w:val="none"/>
        </w:rPr>
        <w:t>法定代表人：</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rPr>
        <w:t>（签字或印鉴）</w:t>
      </w:r>
    </w:p>
    <w:p>
      <w:pPr>
        <w:widowControl/>
        <w:adjustRightInd w:val="0"/>
        <w:snapToGrid w:val="0"/>
        <w:spacing w:line="5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r>
        <w:rPr>
          <w:rFonts w:hint="eastAsia" w:ascii="宋体" w:hAnsi="宋体" w:cs="宋体"/>
          <w:color w:val="auto"/>
          <w:kern w:val="0"/>
          <w:sz w:val="28"/>
          <w:szCs w:val="28"/>
          <w:highlight w:val="none"/>
        </w:rPr>
        <w:t xml:space="preserve">  年   月   日</w:t>
      </w:r>
    </w:p>
    <w:p>
      <w:pPr>
        <w:pStyle w:val="12"/>
        <w:spacing w:line="560" w:lineRule="exact"/>
        <w:rPr>
          <w:color w:val="auto"/>
          <w:highlight w:val="none"/>
        </w:rPr>
      </w:pPr>
    </w:p>
    <w:p>
      <w:pPr>
        <w:pStyle w:val="12"/>
        <w:ind w:firstLine="480"/>
        <w:rPr>
          <w:color w:val="auto"/>
          <w:highlight w:val="none"/>
        </w:rPr>
      </w:pPr>
    </w:p>
    <w:p>
      <w:pPr>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r>
        <w:rPr>
          <w:rFonts w:hint="eastAsia"/>
          <w:color w:val="auto"/>
          <w:highlight w:val="none"/>
        </w:rPr>
        <w:t xml:space="preserve">                                      </w:t>
      </w:r>
    </w:p>
    <w:p>
      <w:pPr>
        <w:pStyle w:val="6"/>
        <w:jc w:val="center"/>
        <w:rPr>
          <w:color w:val="auto"/>
          <w:sz w:val="36"/>
          <w:szCs w:val="36"/>
          <w:highlight w:val="none"/>
        </w:rPr>
      </w:pPr>
      <w:bookmarkStart w:id="8" w:name="_Toc28349"/>
      <w:r>
        <w:rPr>
          <w:rFonts w:hint="eastAsia"/>
          <w:color w:val="auto"/>
          <w:sz w:val="36"/>
          <w:szCs w:val="36"/>
          <w:highlight w:val="none"/>
        </w:rPr>
        <w:t>第二章 供应商须知</w:t>
      </w:r>
      <w:bookmarkEnd w:id="5"/>
      <w:bookmarkEnd w:id="8"/>
      <w:bookmarkStart w:id="9" w:name="_Toc17889"/>
    </w:p>
    <w:bookmarkEnd w:id="9"/>
    <w:p>
      <w:pPr>
        <w:spacing w:line="360" w:lineRule="auto"/>
        <w:rPr>
          <w:rFonts w:ascii="宋体" w:hAnsi="宋体" w:cs="宋体"/>
          <w:b/>
          <w:bCs/>
          <w:color w:val="auto"/>
          <w:sz w:val="24"/>
          <w:highlight w:val="none"/>
        </w:rPr>
      </w:pPr>
      <w:bookmarkStart w:id="10" w:name="_Toc2285"/>
      <w:bookmarkStart w:id="11" w:name="_Toc29085"/>
      <w:r>
        <w:rPr>
          <w:rFonts w:hint="eastAsia" w:ascii="宋体" w:hAnsi="宋体" w:cs="宋体"/>
          <w:b/>
          <w:bCs/>
          <w:color w:val="auto"/>
          <w:sz w:val="24"/>
          <w:highlight w:val="none"/>
        </w:rPr>
        <w:t>1.对供应商的资格要求</w:t>
      </w:r>
      <w:bookmarkEnd w:id="10"/>
      <w:bookmarkEnd w:id="11"/>
    </w:p>
    <w:p>
      <w:pPr>
        <w:spacing w:line="360" w:lineRule="auto"/>
        <w:ind w:firstLine="240" w:firstLineChars="100"/>
        <w:rPr>
          <w:rFonts w:ascii="宋体" w:hAnsi="宋体" w:cs="宋体"/>
          <w:b/>
          <w:bCs/>
          <w:color w:val="auto"/>
          <w:sz w:val="24"/>
          <w:highlight w:val="none"/>
        </w:rPr>
      </w:pPr>
      <w:r>
        <w:rPr>
          <w:rFonts w:hint="eastAsia" w:ascii="宋体" w:hAnsi="宋体" w:cs="宋体"/>
          <w:color w:val="auto"/>
          <w:sz w:val="24"/>
          <w:highlight w:val="none"/>
        </w:rPr>
        <w:t>详见第一章公开比选采购公告六、供应商资格要求。</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2.供应商不得存在的情形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（3）与本项目其他供应商存在管理关系。</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spacing w:line="480" w:lineRule="exact"/>
        <w:ind w:firstLine="218" w:firstLineChars="91"/>
        <w:rPr>
          <w:rFonts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firstLine="218" w:firstLineChars="91"/>
        <w:jc w:val="left"/>
        <w:rPr>
          <w:rFonts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比选截止</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bookmarkStart w:id="12" w:name="OLE_LINK10"/>
            <w:bookmarkStart w:id="13" w:name="OLE_LINK9"/>
            <w:r>
              <w:rPr>
                <w:rFonts w:hint="eastAsia" w:ascii="宋体" w:hAnsi="宋体" w:cs="宋体"/>
                <w:b/>
                <w:bCs/>
                <w:color w:val="auto"/>
                <w:sz w:val="24"/>
                <w:highlight w:val="none"/>
              </w:rPr>
              <w:t>1017555.00元（含税</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w:t>
            </w:r>
            <w:bookmarkEnd w:id="12"/>
            <w:bookmarkEnd w:id="13"/>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color w:val="auto"/>
                <w:highlight w:val="none"/>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Times New Roman"/>
                <w:color w:val="auto"/>
                <w:sz w:val="24"/>
                <w:szCs w:val="20"/>
                <w:highlight w:val="none"/>
              </w:rPr>
            </w:pPr>
            <w:r>
              <w:rPr>
                <w:rFonts w:hint="eastAsia" w:ascii="宋体" w:hAnsi="Times New Roman"/>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纸质文件：1份，</w:t>
            </w:r>
            <w:r>
              <w:rPr>
                <w:rFonts w:hint="eastAsia" w:ascii="宋体" w:hAnsi="宋体" w:cs="宋体"/>
                <w:b/>
                <w:bCs/>
                <w:color w:val="auto"/>
                <w:kern w:val="0"/>
                <w:sz w:val="24"/>
                <w:highlight w:val="none"/>
                <w:lang w:bidi="ar"/>
              </w:rPr>
              <w:t>装订成册</w:t>
            </w:r>
          </w:p>
          <w:p>
            <w:pPr>
              <w:widowControl/>
              <w:jc w:val="left"/>
              <w:textAlignment w:val="top"/>
              <w:rPr>
                <w:color w:val="auto"/>
                <w:highlight w:val="none"/>
              </w:rPr>
            </w:pPr>
            <w:r>
              <w:rPr>
                <w:rFonts w:hint="eastAsia" w:ascii="宋体" w:hAnsi="宋体" w:cs="宋体"/>
                <w:color w:val="auto"/>
                <w:kern w:val="0"/>
                <w:sz w:val="24"/>
                <w:highlight w:val="none"/>
                <w:lang w:bidi="ar"/>
              </w:rPr>
              <w:t>电子文件：U盘一份（含盖章PDF版扫描件及</w:t>
            </w:r>
            <w:r>
              <w:rPr>
                <w:rFonts w:hint="eastAsia" w:ascii="宋体" w:hAnsi="宋体" w:cs="宋体"/>
                <w:color w:val="auto"/>
                <w:sz w:val="24"/>
                <w:highlight w:val="none"/>
              </w:rPr>
              <w:t>劳务清单报价表excel版</w:t>
            </w:r>
            <w:r>
              <w:rPr>
                <w:rFonts w:hint="eastAsia" w:ascii="宋体" w:hAnsi="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纸质响应文件及电子文件装入一个封袋内；在密封处加盖公章，封套应注明：</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bidi="ar"/>
              </w:rPr>
              <w:t xml:space="preserve">                 </w:t>
            </w:r>
          </w:p>
          <w:p>
            <w:pPr>
              <w:widowControl/>
              <w:jc w:val="left"/>
              <w:textAlignment w:val="top"/>
              <w:rPr>
                <w:rFonts w:ascii="宋体" w:hAnsi="宋体" w:cs="宋体"/>
                <w:color w:val="auto"/>
                <w:kern w:val="0"/>
                <w:sz w:val="24"/>
                <w:highlight w:val="none"/>
                <w:u w:val="single"/>
                <w:lang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ascii="宋体" w:hAnsi="宋体" w:cs="宋体"/>
                <w:color w:val="auto"/>
                <w:sz w:val="24"/>
                <w:highlight w:val="none"/>
              </w:rPr>
            </w:pPr>
            <w:r>
              <w:rPr>
                <w:rFonts w:hint="eastAsia" w:ascii="宋体" w:hAnsi="宋体" w:cs="宋体"/>
                <w:color w:val="auto"/>
                <w:kern w:val="0"/>
                <w:sz w:val="24"/>
                <w:highlight w:val="none"/>
                <w:lang w:bidi="ar"/>
              </w:rPr>
              <w:t>响应文件在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响应文件</w:t>
            </w:r>
          </w:p>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rPr>
              <w:t>响应文件递交截止时间</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会议地点：同</w:t>
            </w:r>
            <w:r>
              <w:rPr>
                <w:rFonts w:hint="eastAsia" w:ascii="宋体" w:hAnsi="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纸质响应文件密封情况检查顺序：</w:t>
            </w:r>
            <w:r>
              <w:rPr>
                <w:rFonts w:hint="eastAsia" w:ascii="宋体" w:hAnsi="宋体" w:cs="宋体"/>
                <w:color w:val="auto"/>
                <w:kern w:val="0"/>
                <w:sz w:val="24"/>
                <w:highlight w:val="none"/>
                <w:u w:val="single"/>
                <w:lang w:bidi="ar"/>
              </w:rPr>
              <w:t xml:space="preserve">按响应单位现场签到顺序 </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组建：评审小组构成：由</w:t>
            </w:r>
            <w:r>
              <w:rPr>
                <w:rFonts w:hint="eastAsia" w:ascii="宋体" w:hAnsi="宋体" w:cs="宋体"/>
                <w:color w:val="auto"/>
                <w:kern w:val="0"/>
                <w:sz w:val="24"/>
                <w:highlight w:val="none"/>
                <w:u w:val="single"/>
                <w:lang w:bidi="ar"/>
              </w:rPr>
              <w:t xml:space="preserve"> 3 </w:t>
            </w:r>
            <w:r>
              <w:rPr>
                <w:rFonts w:hint="eastAsia" w:ascii="宋体" w:hAnsi="宋体" w:cs="宋体"/>
                <w:color w:val="auto"/>
                <w:kern w:val="0"/>
                <w:sz w:val="24"/>
                <w:highlight w:val="none"/>
                <w:lang w:bidi="ar"/>
              </w:rPr>
              <w:t>人组成</w:t>
            </w:r>
          </w:p>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见第三章采购方法有关条款</w:t>
            </w:r>
          </w:p>
        </w:tc>
      </w:tr>
    </w:tbl>
    <w:p>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(1)响应文件未密封或未按规定签字、盖章；</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(2)响应文件未按规定格式填写，或内容与比选采购文件严重背离的；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(3)响应文件有两个以上报价的（比选采购文件允许提交备选方案的除外）；</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(4)质量标准不符合比选采购文件要求的；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(5)工期不符合比选采购文件要求的；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(6)报价超过最高限价的；</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(7)供应商不符合国家或者比选采购文件规定的资格条件；</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(8)响应文件没有对比选采购文件的实质性要求和条件作出响应；</w:t>
      </w:r>
    </w:p>
    <w:p>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(9)法律法规规定的其他不得作为响应单位的情形。</w:t>
      </w:r>
    </w:p>
    <w:p>
      <w:pPr>
        <w:spacing w:line="440" w:lineRule="exact"/>
        <w:jc w:val="left"/>
        <w:rPr>
          <w:rFonts w:ascii="宋体" w:hAnsi="宋体" w:cs="宋体"/>
          <w:color w:val="auto"/>
          <w:sz w:val="24"/>
          <w:highlight w:val="none"/>
        </w:rPr>
      </w:pPr>
      <w:r>
        <w:rPr>
          <w:rFonts w:hint="eastAsia" w:ascii="宋体" w:hAnsi="宋体" w:cs="宋体"/>
          <w:b/>
          <w:bCs/>
          <w:color w:val="auto"/>
          <w:sz w:val="24"/>
          <w:highlight w:val="none"/>
        </w:rPr>
        <w:t xml:space="preserve">5.响应文件要求     </w:t>
      </w:r>
      <w:r>
        <w:rPr>
          <w:rFonts w:hint="eastAsia" w:ascii="宋体" w:hAnsi="宋体" w:cs="宋体"/>
          <w:color w:val="auto"/>
          <w:sz w:val="24"/>
          <w:highlight w:val="none"/>
        </w:rPr>
        <w:t xml:space="preserve">                                                 </w:t>
      </w:r>
    </w:p>
    <w:p>
      <w:pPr>
        <w:spacing w:line="440" w:lineRule="exact"/>
        <w:ind w:firstLine="240" w:firstLineChars="100"/>
        <w:jc w:val="left"/>
        <w:rPr>
          <w:rFonts w:ascii="宋体" w:hAnsi="宋体" w:cs="宋体"/>
          <w:color w:val="auto"/>
          <w:sz w:val="24"/>
          <w:highlight w:val="none"/>
        </w:rPr>
      </w:pPr>
      <w:bookmarkStart w:id="14" w:name="_Toc9318"/>
      <w:r>
        <w:rPr>
          <w:rFonts w:hint="eastAsia" w:ascii="宋体" w:hAnsi="宋体" w:cs="宋体"/>
          <w:color w:val="auto"/>
          <w:sz w:val="24"/>
          <w:highlight w:val="none"/>
        </w:rPr>
        <w:t>响应文件包括下列内容</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投标函；</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营业执照；</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施工劳务企业资质证书；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安全生产许可证；</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开户许可证或基本存款账户信息证明；</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法定代表人身份证明及法定代表人授权委托书；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供应商基本情况表；</w:t>
      </w:r>
    </w:p>
    <w:p>
      <w:pPr>
        <w:numPr>
          <w:ilvl w:val="0"/>
          <w:numId w:val="2"/>
        </w:numPr>
        <w:spacing w:line="440" w:lineRule="exact"/>
        <w:ind w:left="0" w:firstLine="420"/>
        <w:rPr>
          <w:rFonts w:ascii="宋体" w:hAnsi="宋体" w:cs="宋体"/>
          <w:color w:val="auto"/>
          <w:sz w:val="24"/>
          <w:highlight w:val="none"/>
        </w:rPr>
      </w:pPr>
      <w:r>
        <w:rPr>
          <w:rFonts w:hint="eastAsia" w:ascii="宋体" w:hAnsi="宋体" w:cs="宋体"/>
          <w:color w:val="auto"/>
          <w:sz w:val="24"/>
          <w:highlight w:val="none"/>
        </w:rPr>
        <w:t>公司近三年业绩；</w:t>
      </w:r>
    </w:p>
    <w:p>
      <w:pPr>
        <w:numPr>
          <w:ilvl w:val="0"/>
          <w:numId w:val="2"/>
        </w:numPr>
        <w:spacing w:line="440" w:lineRule="exact"/>
        <w:ind w:left="10" w:firstLine="410"/>
        <w:rPr>
          <w:rFonts w:ascii="宋体" w:hAnsi="宋体" w:cs="宋体"/>
          <w:color w:val="auto"/>
          <w:sz w:val="24"/>
          <w:highlight w:val="none"/>
        </w:rPr>
      </w:pPr>
      <w:r>
        <w:rPr>
          <w:rFonts w:hint="eastAsia" w:ascii="宋体" w:hAnsi="宋体" w:cs="宋体"/>
          <w:color w:val="auto"/>
          <w:sz w:val="24"/>
          <w:highlight w:val="none"/>
        </w:rPr>
        <w:t>承诺书；</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劳务清单报价表；</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技术方案；</w:t>
      </w:r>
    </w:p>
    <w:p>
      <w:pPr>
        <w:numPr>
          <w:ilvl w:val="0"/>
          <w:numId w:val="2"/>
        </w:numPr>
        <w:spacing w:line="440" w:lineRule="exact"/>
        <w:ind w:left="430" w:hanging="10"/>
        <w:rPr>
          <w:rFonts w:ascii="宋体" w:hAnsi="宋体" w:cs="宋体"/>
          <w:color w:val="auto"/>
          <w:sz w:val="24"/>
          <w:highlight w:val="none"/>
        </w:rPr>
      </w:pPr>
      <w:r>
        <w:rPr>
          <w:rFonts w:hint="eastAsia" w:ascii="宋体" w:hAnsi="宋体" w:cs="宋体"/>
          <w:color w:val="auto"/>
          <w:sz w:val="24"/>
          <w:highlight w:val="none"/>
        </w:rPr>
        <w:t>其他资料。</w:t>
      </w:r>
    </w:p>
    <w:p>
      <w:pPr>
        <w:rPr>
          <w:color w:val="auto"/>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highlight w:val="none"/>
        </w:rPr>
      </w:pPr>
    </w:p>
    <w:p>
      <w:pPr>
        <w:pStyle w:val="6"/>
        <w:jc w:val="center"/>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6"/>
        <w:numPr>
          <w:ilvl w:val="0"/>
          <w:numId w:val="3"/>
        </w:numPr>
        <w:jc w:val="center"/>
        <w:rPr>
          <w:color w:val="auto"/>
          <w:sz w:val="36"/>
          <w:szCs w:val="36"/>
          <w:highlight w:val="none"/>
        </w:rPr>
      </w:pPr>
      <w:bookmarkStart w:id="15" w:name="_Toc12933"/>
      <w:r>
        <w:rPr>
          <w:rFonts w:hint="eastAsia"/>
          <w:color w:val="auto"/>
          <w:sz w:val="36"/>
          <w:szCs w:val="36"/>
          <w:highlight w:val="none"/>
        </w:rPr>
        <w:t>采购方法</w:t>
      </w:r>
      <w:bookmarkEnd w:id="14"/>
      <w:bookmarkEnd w:id="15"/>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bookmarkStart w:id="16" w:name="_Toc3856"/>
            <w:r>
              <w:rPr>
                <w:rFonts w:hint="eastAsia" w:ascii="宋体" w:hAnsi="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auto"/>
                <w:highlight w:val="none"/>
              </w:rPr>
            </w:pPr>
            <w:r>
              <w:rPr>
                <w:rFonts w:hint="eastAsia" w:ascii="宋体" w:hAnsi="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rPr>
              <w:t>响应文件递交截止时间</w:t>
            </w:r>
            <w:r>
              <w:rPr>
                <w:rFonts w:hint="eastAsia" w:ascii="宋体" w:hAnsi="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2.1响应文件</w:t>
            </w:r>
          </w:p>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color w:val="auto"/>
                <w:highlight w:val="none"/>
              </w:rPr>
            </w:pPr>
            <w:r>
              <w:rPr>
                <w:rFonts w:hint="eastAsia" w:ascii="宋体" w:hAnsi="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color w:val="auto"/>
                <w:highlight w:val="none"/>
              </w:rPr>
            </w:pPr>
            <w:r>
              <w:rPr>
                <w:rFonts w:hint="eastAsia" w:ascii="宋体" w:hAnsi="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kern w:val="0"/>
                <w:sz w:val="24"/>
                <w:highlight w:val="none"/>
                <w:lang w:bidi="ar"/>
              </w:rPr>
            </w:pPr>
            <w:r>
              <w:rPr>
                <w:rFonts w:hint="eastAsia" w:ascii="宋体" w:hAnsi="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公示完毕后,比选单位向中选人发出中选通知书</w:t>
            </w:r>
          </w:p>
        </w:tc>
      </w:tr>
      <w:bookmarkEnd w:id="16"/>
    </w:tbl>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6"/>
        <w:jc w:val="center"/>
        <w:rPr>
          <w:color w:val="auto"/>
          <w:sz w:val="36"/>
          <w:szCs w:val="36"/>
          <w:highlight w:val="none"/>
        </w:rPr>
      </w:pPr>
      <w:bookmarkStart w:id="17" w:name="_Toc16056"/>
      <w:r>
        <w:rPr>
          <w:rFonts w:hint="eastAsia"/>
          <w:color w:val="auto"/>
          <w:sz w:val="36"/>
          <w:szCs w:val="36"/>
          <w:highlight w:val="none"/>
        </w:rPr>
        <w:t>第四章 评审办法</w:t>
      </w:r>
      <w:bookmarkEnd w:id="17"/>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spacing w:line="52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 初步评审</w:t>
      </w:r>
    </w:p>
    <w:p>
      <w:pPr>
        <w:widowControl/>
        <w:spacing w:line="500" w:lineRule="exact"/>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9" w:type="dxa"/>
        <w:tblInd w:w="93" w:type="dxa"/>
        <w:tblLayout w:type="fixed"/>
        <w:tblCellMar>
          <w:top w:w="0" w:type="dxa"/>
          <w:left w:w="108" w:type="dxa"/>
          <w:bottom w:w="0" w:type="dxa"/>
          <w:right w:w="108" w:type="dxa"/>
        </w:tblCellMar>
      </w:tblPr>
      <w:tblGrid>
        <w:gridCol w:w="1492"/>
        <w:gridCol w:w="3008"/>
        <w:gridCol w:w="4599"/>
      </w:tblGrid>
      <w:tr>
        <w:tblPrEx>
          <w:tblCellMar>
            <w:top w:w="0" w:type="dxa"/>
            <w:left w:w="108" w:type="dxa"/>
            <w:bottom w:w="0" w:type="dxa"/>
            <w:right w:w="108" w:type="dxa"/>
          </w:tblCellMar>
        </w:tblPrEx>
        <w:trPr>
          <w:trHeight w:val="552"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评审因素</w:t>
            </w:r>
          </w:p>
        </w:tc>
        <w:tc>
          <w:tcPr>
            <w:tcW w:w="4599"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评审标准</w:t>
            </w:r>
          </w:p>
        </w:tc>
      </w:tr>
      <w:tr>
        <w:tblPrEx>
          <w:tblCellMar>
            <w:top w:w="0" w:type="dxa"/>
            <w:left w:w="108" w:type="dxa"/>
            <w:bottom w:w="0" w:type="dxa"/>
            <w:right w:w="108" w:type="dxa"/>
          </w:tblCellMar>
        </w:tblPrEx>
        <w:trPr>
          <w:trHeight w:val="56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供应商名称</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与营业执照、资质证书等资料一致</w:t>
            </w:r>
          </w:p>
        </w:tc>
      </w:tr>
      <w:tr>
        <w:tblPrEx>
          <w:tblCellMar>
            <w:top w:w="0" w:type="dxa"/>
            <w:left w:w="108" w:type="dxa"/>
            <w:bottom w:w="0" w:type="dxa"/>
            <w:right w:w="108" w:type="dxa"/>
          </w:tblCellMar>
        </w:tblPrEx>
        <w:trPr>
          <w:trHeight w:val="494"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响应文件格式</w:t>
            </w:r>
          </w:p>
        </w:tc>
        <w:tc>
          <w:tcPr>
            <w:tcW w:w="4599" w:type="dxa"/>
            <w:tcBorders>
              <w:top w:val="single" w:color="auto" w:sz="4" w:space="0"/>
              <w:left w:val="single" w:color="000000" w:sz="8" w:space="0"/>
              <w:bottom w:val="single" w:color="auto" w:sz="4" w:space="0"/>
              <w:right w:val="single" w:color="000000" w:sz="8"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符合比选采购文件“第五章响应文件格式”要求</w:t>
            </w:r>
          </w:p>
        </w:tc>
      </w:tr>
      <w:tr>
        <w:tblPrEx>
          <w:tblCellMar>
            <w:top w:w="0" w:type="dxa"/>
            <w:left w:w="108" w:type="dxa"/>
            <w:bottom w:w="0" w:type="dxa"/>
            <w:right w:w="108" w:type="dxa"/>
          </w:tblCellMar>
        </w:tblPrEx>
        <w:trPr>
          <w:trHeight w:val="635"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法定代表人身份证明或授权委托书</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符合比选采购文件“响应文件格式”要求</w:t>
            </w:r>
          </w:p>
        </w:tc>
      </w:tr>
      <w:tr>
        <w:tblPrEx>
          <w:tblCellMar>
            <w:top w:w="0" w:type="dxa"/>
            <w:left w:w="108" w:type="dxa"/>
            <w:bottom w:w="0" w:type="dxa"/>
            <w:right w:w="108" w:type="dxa"/>
          </w:tblCellMar>
        </w:tblPrEx>
        <w:trPr>
          <w:trHeight w:val="538"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4599"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有效</w:t>
            </w:r>
          </w:p>
        </w:tc>
      </w:tr>
      <w:tr>
        <w:tblPrEx>
          <w:tblCellMar>
            <w:top w:w="0" w:type="dxa"/>
            <w:left w:w="108" w:type="dxa"/>
            <w:bottom w:w="0" w:type="dxa"/>
            <w:right w:w="108" w:type="dxa"/>
          </w:tblCellMar>
        </w:tblPrEx>
        <w:trPr>
          <w:trHeight w:val="59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资质证书</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625"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安全生产许可证</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有效，满足比选采购文件要求</w:t>
            </w:r>
          </w:p>
        </w:tc>
      </w:tr>
      <w:tr>
        <w:tblPrEx>
          <w:tblCellMar>
            <w:top w:w="0" w:type="dxa"/>
            <w:left w:w="108" w:type="dxa"/>
            <w:bottom w:w="0" w:type="dxa"/>
            <w:right w:w="108" w:type="dxa"/>
          </w:tblCellMar>
        </w:tblPrEx>
        <w:trPr>
          <w:trHeight w:val="711" w:hRule="atLeast"/>
        </w:trPr>
        <w:tc>
          <w:tcPr>
            <w:tcW w:w="1492" w:type="dxa"/>
            <w:vMerge w:val="continue"/>
            <w:tcBorders>
              <w:left w:val="single" w:color="000000" w:sz="8"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信誉要求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未被“信用中国”网站列入失信被执行人名单。（以开标现场查询结果为准）</w:t>
            </w:r>
            <w:r>
              <w:rPr>
                <w:rFonts w:hint="eastAsia" w:ascii="宋体" w:hAnsi="宋体" w:cs="宋体"/>
                <w:color w:val="auto"/>
                <w:kern w:val="0"/>
                <w:szCs w:val="21"/>
                <w:highlight w:val="none"/>
                <w:lang w:bidi="ar"/>
              </w:rPr>
              <w:t xml:space="preserve">  </w:t>
            </w:r>
          </w:p>
        </w:tc>
      </w:tr>
      <w:tr>
        <w:tblPrEx>
          <w:tblCellMar>
            <w:top w:w="0" w:type="dxa"/>
            <w:left w:w="108" w:type="dxa"/>
            <w:bottom w:w="0" w:type="dxa"/>
            <w:right w:w="108" w:type="dxa"/>
          </w:tblCellMar>
        </w:tblPrEx>
        <w:trPr>
          <w:trHeight w:val="686"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ascii="宋体" w:hAnsi="宋体" w:cs="宋体"/>
                <w:color w:val="auto"/>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其他要求</w:t>
            </w:r>
          </w:p>
        </w:tc>
        <w:tc>
          <w:tcPr>
            <w:tcW w:w="4599"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参加本项目比选的</w:t>
            </w:r>
            <w:r>
              <w:rPr>
                <w:rFonts w:hint="eastAsia" w:ascii="宋体" w:hAnsi="宋体" w:cs="宋体"/>
                <w:color w:val="auto"/>
                <w:szCs w:val="21"/>
                <w:highlight w:val="none"/>
              </w:rPr>
              <w:t>供应商</w:t>
            </w:r>
            <w:r>
              <w:rPr>
                <w:rFonts w:hint="eastAsia" w:ascii="宋体" w:hAnsi="宋体" w:cs="宋体"/>
                <w:color w:val="auto"/>
                <w:szCs w:val="21"/>
                <w:highlight w:val="none"/>
                <w:shd w:val="clear" w:color="auto" w:fill="FFFFFF"/>
              </w:rPr>
              <w:t>应为石家庄承宏工程建设有限公司入库成员</w:t>
            </w:r>
          </w:p>
        </w:tc>
      </w:tr>
      <w:tr>
        <w:tblPrEx>
          <w:tblCellMar>
            <w:top w:w="0" w:type="dxa"/>
            <w:left w:w="108" w:type="dxa"/>
            <w:bottom w:w="0" w:type="dxa"/>
            <w:right w:w="108" w:type="dxa"/>
          </w:tblCellMar>
        </w:tblPrEx>
        <w:trPr>
          <w:trHeight w:val="649"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响应文件的份数、构成及签字盖章</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99"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614" w:hRule="atLeast"/>
        </w:trPr>
        <w:tc>
          <w:tcPr>
            <w:tcW w:w="1492" w:type="dxa"/>
            <w:vMerge w:val="continue"/>
            <w:tcBorders>
              <w:left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3"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31"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质量标准</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1"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工程量清单</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满足比选采购文件要求</w:t>
            </w:r>
          </w:p>
        </w:tc>
      </w:tr>
      <w:tr>
        <w:tblPrEx>
          <w:tblCellMar>
            <w:top w:w="0" w:type="dxa"/>
            <w:left w:w="108" w:type="dxa"/>
            <w:bottom w:w="0" w:type="dxa"/>
            <w:right w:w="108" w:type="dxa"/>
          </w:tblCellMar>
        </w:tblPrEx>
        <w:trPr>
          <w:trHeight w:val="568"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其他</w:t>
            </w:r>
          </w:p>
        </w:tc>
        <w:tc>
          <w:tcPr>
            <w:tcW w:w="4599"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 详细评审</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分值权重</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报价部分：70分</w:t>
            </w:r>
          </w:p>
          <w:p>
            <w:pPr>
              <w:spacing w:line="360" w:lineRule="exact"/>
              <w:ind w:left="21" w:leftChars="10" w:right="21" w:rightChars="10"/>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技术部分（技术方案）：25分</w:t>
            </w:r>
          </w:p>
          <w:p>
            <w:pPr>
              <w:spacing w:line="360" w:lineRule="exact"/>
              <w:ind w:left="21" w:leftChars="10" w:right="21" w:rightChars="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响应报价评分标准</w:t>
            </w:r>
          </w:p>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1.以供应商有效最低报价为基准价，基准价得分70分。</w:t>
            </w:r>
          </w:p>
          <w:p>
            <w:pPr>
              <w:pStyle w:val="28"/>
              <w:widowControl/>
              <w:spacing w:line="360" w:lineRule="exact"/>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p>
          <w:p>
            <w:pPr>
              <w:spacing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2.2</w:t>
            </w:r>
          </w:p>
          <w:p>
            <w:pPr>
              <w:spacing w:line="360" w:lineRule="exact"/>
              <w:rPr>
                <w:rFonts w:asciiTheme="minorEastAsia" w:hAnsiTheme="minorEastAsia" w:eastAsiaTheme="minorEastAsia" w:cstheme="minorEastAsia"/>
                <w:color w:val="auto"/>
                <w:szCs w:val="21"/>
                <w:highlight w:val="none"/>
              </w:rPr>
            </w:pPr>
          </w:p>
          <w:p>
            <w:pPr>
              <w:spacing w:line="360" w:lineRule="exact"/>
              <w:rPr>
                <w:rFonts w:asciiTheme="minorEastAsia" w:hAnsiTheme="minorEastAsia" w:eastAsiaTheme="minorEastAsia" w:cstheme="minorEastAsia"/>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技术方案评分标准</w:t>
            </w:r>
          </w:p>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施工方法及主要技术措施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方法措施科学合理得2.41-4.00分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方法措施</w:t>
            </w: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得1.21-2.40分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对工程进度总体安排表述清晰，全面可行得3.61-6.00分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对工程进度总体安排表述清晰得1.81-3.60分</w:t>
            </w:r>
          </w:p>
          <w:p>
            <w:pPr>
              <w:spacing w:line="360" w:lineRule="exact"/>
              <w:ind w:left="23" w:leftChars="10" w:right="21" w:rightChars="10" w:hanging="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工程质量保证措施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质量保证措施全面可行，科学合理得3.61-6.00分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质量保证措施基本可行，较合理得1.81-3.60分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安全生产及文明施工措施</w:t>
            </w:r>
          </w:p>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pacing w:val="-11"/>
                <w:szCs w:val="21"/>
                <w:highlight w:val="none"/>
              </w:rPr>
            </w:pPr>
            <w:r>
              <w:rPr>
                <w:rFonts w:hint="eastAsia" w:asciiTheme="minorEastAsia" w:hAnsiTheme="minorEastAsia" w:eastAsiaTheme="minorEastAsia" w:cstheme="minorEastAsia"/>
                <w:color w:val="auto"/>
                <w:spacing w:val="-11"/>
                <w:szCs w:val="21"/>
                <w:highlight w:val="none"/>
              </w:rPr>
              <w:t>完善并具备符合性、有效性及可行性得3.61-6.00分</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安全管理体系与措施较完善得1.81-3.60分</w:t>
            </w:r>
          </w:p>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科学合理得1.81-3.00分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rPr>
              <w:t>较科学合理</w:t>
            </w:r>
            <w:r>
              <w:rPr>
                <w:rFonts w:hint="eastAsia" w:asciiTheme="minorEastAsia" w:hAnsiTheme="minorEastAsia" w:eastAsiaTheme="minorEastAsia" w:cstheme="minorEastAsia"/>
                <w:color w:val="auto"/>
                <w:szCs w:val="21"/>
                <w:highlight w:val="none"/>
                <w:lang w:bidi="ar"/>
              </w:rPr>
              <w:t>得0.91-1.80分</w:t>
            </w:r>
          </w:p>
          <w:p>
            <w:pPr>
              <w:spacing w:line="360" w:lineRule="exact"/>
              <w:ind w:left="23" w:leftChars="10" w:right="21" w:rightChars="10" w:hanging="2"/>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供应商每具有一个202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月01日至今（以合同签订时间为准）的劳务类业绩得2分，最高得5分。须在响应文件中附合同协议书原件扫描件。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①各供应商的技术部分得分均为评审小组所有成员打分的平均值；</w:t>
            </w:r>
          </w:p>
          <w:p>
            <w:pPr>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综合得分并列第一的响应单位以报价部分得分最高者为拟中选单位。</w:t>
            </w:r>
          </w:p>
        </w:tc>
      </w:tr>
    </w:tbl>
    <w:p>
      <w:pPr>
        <w:pStyle w:val="12"/>
        <w:rPr>
          <w:rFonts w:hAnsi="宋体" w:cs="宋体"/>
          <w:color w:val="auto"/>
          <w:kern w:val="0"/>
          <w:highlight w:val="none"/>
          <w:lang w:bidi="ar"/>
        </w:rPr>
      </w:pP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（2）推荐中标候选人：</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评审小组按评标办法对各响应单位进行评审，汇总各评委的有效评审结果，按照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2.保密：</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（1）有关响应单位的任何情况均不透露给任一响应单位。</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ind w:firstLine="480" w:firstLineChars="2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sz w:val="36"/>
          <w:szCs w:val="36"/>
          <w:highlight w:val="none"/>
        </w:rPr>
      </w:pPr>
    </w:p>
    <w:p>
      <w:pPr>
        <w:pStyle w:val="2"/>
        <w:rPr>
          <w:color w:val="auto"/>
          <w:sz w:val="36"/>
          <w:szCs w:val="36"/>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sz w:val="36"/>
          <w:szCs w:val="36"/>
          <w:highlight w:val="none"/>
        </w:rPr>
      </w:pPr>
    </w:p>
    <w:p>
      <w:pPr>
        <w:pStyle w:val="12"/>
        <w:rPr>
          <w:color w:val="auto"/>
          <w:highlight w:val="none"/>
        </w:rPr>
      </w:pPr>
    </w:p>
    <w:p>
      <w:pPr>
        <w:pStyle w:val="6"/>
        <w:jc w:val="center"/>
        <w:rPr>
          <w:color w:val="auto"/>
          <w:sz w:val="36"/>
          <w:szCs w:val="36"/>
          <w:highlight w:val="none"/>
        </w:rPr>
      </w:pPr>
      <w:bookmarkStart w:id="18" w:name="_Toc28649"/>
      <w:r>
        <w:rPr>
          <w:rFonts w:hint="eastAsia"/>
          <w:color w:val="auto"/>
          <w:sz w:val="36"/>
          <w:szCs w:val="36"/>
          <w:highlight w:val="none"/>
        </w:rPr>
        <w:t>第五章 响应文件格式</w:t>
      </w:r>
      <w:bookmarkEnd w:id="18"/>
    </w:p>
    <w:p>
      <w:pPr>
        <w:rPr>
          <w:color w:val="auto"/>
          <w:sz w:val="24"/>
          <w:szCs w:val="32"/>
          <w:highlight w:val="none"/>
        </w:rPr>
      </w:pPr>
    </w:p>
    <w:p>
      <w:pPr>
        <w:widowControl/>
        <w:autoSpaceDE w:val="0"/>
        <w:autoSpaceDN w:val="0"/>
        <w:adjustRightInd w:val="0"/>
        <w:spacing w:line="360" w:lineRule="auto"/>
        <w:jc w:val="right"/>
        <w:rPr>
          <w:rFonts w:ascii="宋体" w:hAnsi="宋体"/>
          <w:color w:val="auto"/>
          <w:kern w:val="0"/>
          <w:szCs w:val="21"/>
          <w:highlight w:val="none"/>
        </w:rPr>
      </w:pPr>
    </w:p>
    <w:p>
      <w:pPr>
        <w:spacing w:line="360" w:lineRule="auto"/>
        <w:jc w:val="center"/>
        <w:rPr>
          <w:rFonts w:ascii="宋体" w:hAnsi="宋体" w:cs="宋体"/>
          <w:b/>
          <w:bCs/>
          <w:color w:val="auto"/>
          <w:sz w:val="56"/>
          <w:szCs w:val="52"/>
          <w:highlight w:val="none"/>
        </w:rPr>
      </w:pPr>
    </w:p>
    <w:p>
      <w:pPr>
        <w:spacing w:line="360" w:lineRule="auto"/>
        <w:jc w:val="center"/>
        <w:rPr>
          <w:b/>
          <w:bCs/>
          <w:color w:val="auto"/>
          <w:sz w:val="160"/>
          <w:szCs w:val="160"/>
          <w:highlight w:val="none"/>
        </w:rPr>
      </w:pPr>
      <w:r>
        <w:rPr>
          <w:rFonts w:hint="eastAsia" w:ascii="宋体" w:hAnsi="宋体" w:cs="宋体"/>
          <w:b/>
          <w:bCs/>
          <w:color w:val="auto"/>
          <w:sz w:val="56"/>
          <w:szCs w:val="52"/>
          <w:highlight w:val="none"/>
        </w:rPr>
        <w:t xml:space="preserve"> </w:t>
      </w:r>
      <w:r>
        <w:rPr>
          <w:rFonts w:hint="eastAsia" w:ascii="宋体" w:hAnsi="宋体" w:cs="宋体"/>
          <w:b/>
          <w:bCs/>
          <w:color w:val="auto"/>
          <w:sz w:val="48"/>
          <w:szCs w:val="48"/>
          <w:highlight w:val="none"/>
          <w:lang w:eastAsia="zh-CN"/>
        </w:rPr>
        <w:t>地块三十商品区东地块劳务分包采购</w:t>
      </w:r>
      <w:r>
        <w:rPr>
          <w:rFonts w:hint="eastAsia" w:ascii="宋体" w:hAnsi="宋体" w:cs="宋体"/>
          <w:b/>
          <w:bCs/>
          <w:color w:val="auto"/>
          <w:sz w:val="48"/>
          <w:szCs w:val="48"/>
          <w:highlight w:val="none"/>
        </w:rPr>
        <w:t xml:space="preserve"> </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cs="宋体"/>
          <w:color w:val="auto"/>
          <w:sz w:val="32"/>
          <w:szCs w:val="32"/>
          <w:highlight w:val="none"/>
        </w:rPr>
      </w:pPr>
    </w:p>
    <w:p>
      <w:pPr>
        <w:rPr>
          <w:rFonts w:ascii="宋体" w:cs="宋体"/>
          <w:color w:val="auto"/>
          <w:sz w:val="32"/>
          <w:szCs w:val="32"/>
          <w:highlight w:val="none"/>
        </w:rPr>
      </w:pPr>
    </w:p>
    <w:p>
      <w:pPr>
        <w:pStyle w:val="2"/>
        <w:rPr>
          <w:rFonts w:ascii="宋体" w:cs="宋体"/>
          <w:color w:val="auto"/>
          <w:sz w:val="32"/>
          <w:szCs w:val="32"/>
          <w:highlight w:val="none"/>
        </w:rPr>
      </w:pPr>
    </w:p>
    <w:p>
      <w:pPr>
        <w:rPr>
          <w:color w:val="auto"/>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b/>
          <w:bCs/>
          <w:color w:val="auto"/>
          <w:sz w:val="36"/>
          <w:szCs w:val="36"/>
          <w:highlight w:val="none"/>
        </w:rPr>
      </w:pPr>
    </w:p>
    <w:p>
      <w:pPr>
        <w:pStyle w:val="2"/>
        <w:rPr>
          <w:color w:val="auto"/>
          <w:highlight w:val="none"/>
        </w:rPr>
      </w:pPr>
    </w:p>
    <w:p>
      <w:pPr>
        <w:pStyle w:val="20"/>
        <w:tabs>
          <w:tab w:val="right" w:leader="dot" w:pos="8958"/>
        </w:tabs>
        <w:ind w:left="0" w:leftChars="0"/>
        <w:jc w:val="center"/>
        <w:rPr>
          <w:b/>
          <w:bCs/>
          <w:color w:val="auto"/>
          <w:sz w:val="36"/>
          <w:szCs w:val="36"/>
          <w:highlight w:val="none"/>
        </w:rPr>
      </w:pPr>
    </w:p>
    <w:p>
      <w:pPr>
        <w:pStyle w:val="20"/>
        <w:tabs>
          <w:tab w:val="right" w:leader="dot" w:pos="8958"/>
        </w:tabs>
        <w:ind w:left="0" w:leftChars="0"/>
        <w:jc w:val="center"/>
        <w:rPr>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一、投标函</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二、营业执照</w:t>
      </w:r>
      <w:r>
        <w:rPr>
          <w:rFonts w:hint="eastAsia" w:asciiTheme="minorEastAsia" w:hAnsiTheme="minorEastAsia" w:eastAsiaTheme="minorEastAsia" w:cstheme="minorEastAsia"/>
          <w:bCs/>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"_Toc21198"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三</w:t>
      </w:r>
      <w:r>
        <w:rPr>
          <w:rFonts w:hint="eastAsia" w:asciiTheme="minorEastAsia" w:hAnsiTheme="minorEastAsia" w:eastAsiaTheme="minorEastAsia" w:cstheme="minorEastAsia"/>
          <w:color w:val="auto"/>
          <w:sz w:val="28"/>
          <w:szCs w:val="28"/>
          <w:highlight w:val="none"/>
        </w:rPr>
        <w:t>、施工劳务企业资质证书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"_Toc19454"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四、安全生产许可证</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"_Toc21480"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五、开户许可证或基本存款账户信息证明</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六、法定代表人身份证明及法定代表人授权委托书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"_Toc30751"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七、供应商基本情况表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bCs/>
          <w:color w:val="auto"/>
          <w:sz w:val="28"/>
          <w:szCs w:val="28"/>
          <w:highlight w:val="none"/>
        </w:rPr>
      </w:pPr>
      <w:r>
        <w:rPr>
          <w:color w:val="auto"/>
          <w:highlight w:val="none"/>
        </w:rPr>
        <w:fldChar w:fldCharType="begin"/>
      </w:r>
      <w:r>
        <w:rPr>
          <w:color w:val="auto"/>
          <w:highlight w:val="none"/>
        </w:rPr>
        <w:instrText xml:space="preserve"> HYPERLINK \l "_Toc24831"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八、近三年类似业绩</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"_Toc8006"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九、承诺书</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"_Toc9901"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十、劳务清单报价表</w:t>
      </w:r>
      <w:r>
        <w:rPr>
          <w:rFonts w:hint="eastAsia" w:asciiTheme="minorEastAsia" w:hAnsiTheme="minorEastAsia" w:eastAsiaTheme="minorEastAsia" w:cstheme="minorEastAsia"/>
          <w:color w:val="auto"/>
          <w:sz w:val="28"/>
          <w:szCs w:val="28"/>
          <w:highlight w:val="none"/>
        </w:rPr>
        <w:fldChar w:fldCharType="end"/>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十一、技术方案</w:t>
      </w:r>
    </w:p>
    <w:p>
      <w:pPr>
        <w:pStyle w:val="20"/>
        <w:tabs>
          <w:tab w:val="right" w:leader="dot" w:pos="8958"/>
        </w:tabs>
        <w:spacing w:line="56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after="100" w:line="315" w:lineRule="atLeast"/>
        <w:jc w:val="center"/>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ascii="宋体" w:hAnsi="宋体"/>
          <w:color w:val="auto"/>
          <w:kern w:val="0"/>
          <w:sz w:val="24"/>
          <w:highlight w:val="none"/>
        </w:rPr>
      </w:pPr>
      <w:r>
        <w:rPr>
          <w:rFonts w:hint="eastAsia" w:ascii="宋体" w:hAnsi="宋体"/>
          <w:color w:val="auto"/>
          <w:kern w:val="0"/>
          <w:sz w:val="24"/>
          <w:highlight w:val="none"/>
        </w:rPr>
        <w:t>致：石家庄承宏工程建设有限公司司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bookmarkStart w:id="19" w:name="OLE_LINK12"/>
      <w:bookmarkStart w:id="20" w:name="OLE_LINK13"/>
      <w:r>
        <w:rPr>
          <w:rFonts w:hint="eastAsia" w:ascii="宋体" w:hAnsi="宋体"/>
          <w:color w:val="auto"/>
          <w:kern w:val="0"/>
          <w:sz w:val="24"/>
          <w:highlight w:val="none"/>
          <w:u w:val="single"/>
        </w:rPr>
        <w:t xml:space="preserve"> </w:t>
      </w:r>
      <w:bookmarkEnd w:id="19"/>
      <w:bookmarkEnd w:id="20"/>
      <w:r>
        <w:rPr>
          <w:rFonts w:hint="eastAsia" w:ascii="宋体" w:hAnsi="宋体"/>
          <w:color w:val="auto"/>
          <w:sz w:val="24"/>
          <w:highlight w:val="none"/>
          <w:u w:val="single"/>
          <w:lang w:eastAsia="zh-CN"/>
        </w:rPr>
        <w:t>地块三十商品区东地块劳务分包采购</w:t>
      </w:r>
      <w:r>
        <w:rPr>
          <w:rFonts w:hint="eastAsia" w:ascii="宋体" w:hAnsi="宋体"/>
          <w:color w:val="auto"/>
          <w:sz w:val="24"/>
          <w:highlight w:val="none"/>
          <w:u w:val="single"/>
        </w:rPr>
        <w:t xml:space="preserve">  </w:t>
      </w:r>
      <w:r>
        <w:rPr>
          <w:rFonts w:hint="eastAsia" w:ascii="宋体" w:hAnsi="宋体"/>
          <w:color w:val="auto"/>
          <w:kern w:val="0"/>
          <w:sz w:val="24"/>
          <w:highlight w:val="none"/>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rPr>
        <w:t xml:space="preserve"> </w:t>
      </w:r>
      <w:r>
        <w:rPr>
          <w:rFonts w:hint="eastAsia" w:ascii="宋体" w:hAnsi="宋体"/>
          <w:color w:val="auto"/>
          <w:sz w:val="24"/>
          <w:highlight w:val="none"/>
          <w:u w:val="single"/>
          <w:lang w:eastAsia="zh-CN"/>
        </w:rPr>
        <w:t>地块三十商品区东地块劳务分包采购</w:t>
      </w:r>
      <w:r>
        <w:rPr>
          <w:rFonts w:hint="eastAsia" w:ascii="宋体" w:hAnsi="宋体"/>
          <w:color w:val="auto"/>
          <w:sz w:val="24"/>
          <w:highlight w:val="none"/>
          <w:u w:val="single"/>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right="28"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rPr>
        <w:t>报</w:t>
      </w:r>
      <w:r>
        <w:rPr>
          <w:rFonts w:ascii="宋体" w:hAnsi="宋体"/>
          <w:color w:val="auto"/>
          <w:kern w:val="0"/>
          <w:sz w:val="24"/>
          <w:highlight w:val="none"/>
        </w:rPr>
        <w:t>价:</w:t>
      </w:r>
      <w:bookmarkStart w:id="21" w:name="OLE_LINK11"/>
      <w:bookmarkStart w:id="22" w:name="OLE_LINK14"/>
      <w:r>
        <w:rPr>
          <w:rFonts w:ascii="宋体" w:hAnsi="宋体"/>
          <w:color w:val="auto"/>
          <w:kern w:val="0"/>
          <w:sz w:val="24"/>
          <w:highlight w:val="none"/>
        </w:rPr>
        <w:t>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bookmarkEnd w:id="21"/>
      <w:r>
        <w:rPr>
          <w:rFonts w:ascii="宋体" w:hAnsi="宋体"/>
          <w:color w:val="auto"/>
          <w:kern w:val="0"/>
          <w:sz w:val="24"/>
          <w:highlight w:val="none"/>
        </w:rPr>
        <w:t>；</w:t>
      </w:r>
      <w:bookmarkEnd w:id="22"/>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hint="eastAsia" w:ascii="宋体" w:hAnsi="宋体"/>
          <w:color w:val="auto"/>
          <w:kern w:val="0"/>
          <w:sz w:val="24"/>
          <w:highlight w:val="none"/>
        </w:rPr>
        <w:t>工  期</w:t>
      </w:r>
      <w:r>
        <w:rPr>
          <w:rFonts w:ascii="宋体" w:hAnsi="宋体"/>
          <w:color w:val="auto"/>
          <w:kern w:val="0"/>
          <w:sz w:val="24"/>
          <w:highlight w:val="none"/>
        </w:rPr>
        <w:t>：</w:t>
      </w:r>
      <w:r>
        <w:rPr>
          <w:rFonts w:hint="eastAsia" w:ascii="宋体" w:hAnsi="宋体" w:cs="宋体"/>
          <w:color w:val="auto"/>
          <w:sz w:val="24"/>
          <w:highlight w:val="none"/>
          <w:u w:val="single"/>
        </w:rPr>
        <w:t xml:space="preserve">        </w:t>
      </w:r>
      <w:r>
        <w:rPr>
          <w:rFonts w:hint="eastAsia" w:ascii="宋体" w:hAnsi="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ascii="宋体" w:hAnsi="宋体"/>
          <w:color w:val="auto"/>
          <w:kern w:val="0"/>
          <w:sz w:val="24"/>
          <w:highlight w:val="none"/>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color w:val="auto"/>
          <w:highlight w:val="none"/>
        </w:rPr>
      </w:pPr>
      <w:r>
        <w:rPr>
          <w:rFonts w:hint="eastAsia" w:ascii="宋体" w:hAnsi="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rPr>
        <w:t>比选单位</w:t>
      </w:r>
      <w:r>
        <w:rPr>
          <w:rFonts w:ascii="宋体" w:hAnsi="宋体"/>
          <w:color w:val="auto"/>
          <w:kern w:val="0"/>
          <w:sz w:val="24"/>
          <w:highlight w:val="none"/>
        </w:rPr>
        <w:t>在</w:t>
      </w:r>
      <w:r>
        <w:rPr>
          <w:rFonts w:hint="eastAsia" w:ascii="宋体" w:hAnsi="宋体"/>
          <w:color w:val="auto"/>
          <w:kern w:val="0"/>
          <w:sz w:val="24"/>
          <w:highlight w:val="none"/>
        </w:rPr>
        <w:t>比选采购文件</w:t>
      </w:r>
      <w:r>
        <w:rPr>
          <w:rFonts w:ascii="宋体" w:hAnsi="宋体"/>
          <w:color w:val="auto"/>
          <w:kern w:val="0"/>
          <w:sz w:val="24"/>
          <w:highlight w:val="none"/>
        </w:rPr>
        <w:t>中要求的所有资料。</w:t>
      </w:r>
    </w:p>
    <w:p>
      <w:pPr>
        <w:pStyle w:val="12"/>
        <w:rPr>
          <w:rFonts w:hAnsi="宋体"/>
          <w:color w:val="auto"/>
          <w:kern w:val="0"/>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topLinePunct/>
        <w:spacing w:line="560" w:lineRule="exact"/>
        <w:ind w:right="-307" w:rightChars="-146" w:firstLine="3360" w:firstLineChars="1400"/>
        <w:rPr>
          <w:rFonts w:asciiTheme="minorEastAsia" w:hAnsiTheme="minorEastAsia" w:cstheme="minorEastAsia"/>
          <w:color w:val="auto"/>
          <w:sz w:val="24"/>
          <w:highlight w:val="none"/>
        </w:rPr>
      </w:pPr>
      <w:r>
        <w:rPr>
          <w:rFonts w:hint="eastAsia" w:ascii="宋体" w:hAnsi="宋体"/>
          <w:color w:val="auto"/>
          <w:kern w:val="0"/>
          <w:sz w:val="24"/>
          <w:highlight w:val="none"/>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widowControl/>
        <w:adjustRightInd w:val="0"/>
        <w:snapToGrid w:val="0"/>
        <w:spacing w:line="560" w:lineRule="exact"/>
        <w:ind w:firstLine="3840" w:firstLineChars="1600"/>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widowControl/>
        <w:adjustRightInd w:val="0"/>
        <w:snapToGrid w:val="0"/>
        <w:spacing w:line="560" w:lineRule="exac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hAnsi="宋体"/>
          <w:color w:val="auto"/>
          <w:kern w:val="0"/>
          <w:highlight w:val="none"/>
        </w:rPr>
      </w:pPr>
    </w:p>
    <w:p>
      <w:pPr>
        <w:rPr>
          <w:rFonts w:hAnsi="宋体"/>
          <w:color w:val="auto"/>
          <w:kern w:val="0"/>
          <w:highlight w:val="none"/>
        </w:rPr>
      </w:pPr>
    </w:p>
    <w:p>
      <w:pPr>
        <w:pStyle w:val="2"/>
        <w:rPr>
          <w:rFonts w:hAnsi="宋体"/>
          <w:color w:val="auto"/>
          <w:kern w:val="0"/>
          <w:highlight w:val="none"/>
        </w:rPr>
      </w:pPr>
    </w:p>
    <w:p>
      <w:pPr>
        <w:rPr>
          <w:color w:val="auto"/>
          <w:highlight w:val="none"/>
        </w:rPr>
      </w:pPr>
    </w:p>
    <w:p>
      <w:pPr>
        <w:pStyle w:val="6"/>
        <w:jc w:val="center"/>
        <w:rPr>
          <w:bCs w:val="0"/>
          <w:color w:val="auto"/>
          <w:kern w:val="0"/>
          <w:sz w:val="32"/>
          <w:szCs w:val="32"/>
          <w:highlight w:val="none"/>
          <w:lang w:bidi="ar"/>
        </w:rPr>
      </w:pPr>
      <w:bookmarkStart w:id="23" w:name="_Toc21847"/>
      <w:bookmarkStart w:id="24" w:name="_Toc10115"/>
      <w:bookmarkStart w:id="25" w:name="_Toc1445"/>
      <w:bookmarkStart w:id="26" w:name="_Toc7387"/>
      <w:r>
        <w:rPr>
          <w:rFonts w:hint="eastAsia"/>
          <w:bCs w:val="0"/>
          <w:color w:val="auto"/>
          <w:kern w:val="0"/>
          <w:sz w:val="32"/>
          <w:szCs w:val="32"/>
          <w:highlight w:val="none"/>
          <w:lang w:bidi="ar"/>
        </w:rPr>
        <w:t>二、营业执照</w:t>
      </w:r>
      <w:bookmarkEnd w:id="23"/>
      <w:bookmarkEnd w:id="24"/>
      <w:bookmarkEnd w:id="25"/>
      <w:bookmarkEnd w:id="2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27" w:name="_Toc30767"/>
      <w:bookmarkStart w:id="28" w:name="_Toc8962"/>
      <w:bookmarkStart w:id="29" w:name="_Toc2164"/>
      <w:bookmarkStart w:id="30" w:name="_Toc21198"/>
      <w:r>
        <w:rPr>
          <w:rFonts w:hint="eastAsia"/>
          <w:bCs w:val="0"/>
          <w:color w:val="auto"/>
          <w:kern w:val="0"/>
          <w:sz w:val="32"/>
          <w:szCs w:val="32"/>
          <w:highlight w:val="none"/>
          <w:lang w:bidi="ar"/>
        </w:rPr>
        <w:t>三、施工劳务企业资质证书</w:t>
      </w:r>
      <w:bookmarkEnd w:id="27"/>
      <w:bookmarkEnd w:id="28"/>
      <w:bookmarkEnd w:id="29"/>
      <w:bookmarkEnd w:id="3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1" w:name="_Toc19454"/>
      <w:bookmarkStart w:id="32" w:name="_Toc13546"/>
      <w:bookmarkStart w:id="33" w:name="_Toc13359"/>
      <w:bookmarkStart w:id="34" w:name="_Toc21741"/>
      <w:r>
        <w:rPr>
          <w:rFonts w:hint="eastAsia"/>
          <w:bCs w:val="0"/>
          <w:color w:val="auto"/>
          <w:kern w:val="0"/>
          <w:sz w:val="32"/>
          <w:szCs w:val="32"/>
          <w:highlight w:val="none"/>
          <w:lang w:bidi="ar"/>
        </w:rPr>
        <w:t>四、安全生产许可证</w:t>
      </w:r>
      <w:bookmarkEnd w:id="31"/>
      <w:bookmarkEnd w:id="32"/>
      <w:bookmarkEnd w:id="33"/>
      <w:bookmarkEnd w:id="3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5" w:name="_Toc21491"/>
      <w:bookmarkStart w:id="36" w:name="_Toc21480"/>
      <w:bookmarkStart w:id="37" w:name="_Toc14486"/>
      <w:bookmarkStart w:id="38" w:name="_Toc4606"/>
      <w:r>
        <w:rPr>
          <w:rFonts w:hint="eastAsia"/>
          <w:bCs w:val="0"/>
          <w:color w:val="auto"/>
          <w:kern w:val="0"/>
          <w:sz w:val="32"/>
          <w:szCs w:val="32"/>
          <w:highlight w:val="none"/>
          <w:lang w:bidi="ar"/>
        </w:rPr>
        <w:t>五、开户许可证或基本存款账户信息证明</w:t>
      </w:r>
      <w:bookmarkEnd w:id="35"/>
      <w:bookmarkEnd w:id="36"/>
      <w:bookmarkEnd w:id="37"/>
      <w:bookmarkEnd w:id="3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jc w:val="center"/>
        <w:rPr>
          <w:bCs w:val="0"/>
          <w:color w:val="auto"/>
          <w:kern w:val="0"/>
          <w:sz w:val="32"/>
          <w:szCs w:val="32"/>
          <w:highlight w:val="none"/>
          <w:lang w:bidi="ar"/>
        </w:rPr>
      </w:pPr>
      <w:bookmarkStart w:id="39" w:name="_Toc676"/>
      <w:bookmarkStart w:id="40" w:name="_Toc29609"/>
      <w:bookmarkStart w:id="41" w:name="_Toc3450"/>
      <w:bookmarkStart w:id="42" w:name="_Toc149"/>
      <w:r>
        <w:rPr>
          <w:rFonts w:hint="eastAsia"/>
          <w:bCs w:val="0"/>
          <w:color w:val="auto"/>
          <w:kern w:val="0"/>
          <w:sz w:val="32"/>
          <w:szCs w:val="32"/>
          <w:highlight w:val="none"/>
          <w:lang w:bidi="ar"/>
        </w:rPr>
        <w:t>六、法定代表人身份证明及法定代表人授权委托书</w:t>
      </w:r>
      <w:bookmarkEnd w:id="39"/>
      <w:bookmarkEnd w:id="40"/>
      <w:bookmarkEnd w:id="41"/>
      <w:bookmarkEnd w:id="42"/>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6"/>
        <w:jc w:val="center"/>
        <w:rPr>
          <w:bCs w:val="0"/>
          <w:color w:val="auto"/>
          <w:kern w:val="0"/>
          <w:sz w:val="32"/>
          <w:szCs w:val="32"/>
          <w:highlight w:val="none"/>
          <w:lang w:bidi="ar"/>
        </w:rPr>
      </w:pPr>
      <w:bookmarkStart w:id="43" w:name="_Toc5118"/>
      <w:bookmarkStart w:id="44" w:name="_Toc20831"/>
      <w:r>
        <w:rPr>
          <w:rFonts w:hint="eastAsia"/>
          <w:bCs w:val="0"/>
          <w:color w:val="auto"/>
          <w:kern w:val="0"/>
          <w:sz w:val="32"/>
          <w:szCs w:val="32"/>
          <w:highlight w:val="none"/>
          <w:lang w:bidi="ar"/>
        </w:rPr>
        <w:t>1.法定代表人身份证明</w:t>
      </w:r>
      <w:bookmarkEnd w:id="43"/>
      <w:bookmarkEnd w:id="44"/>
    </w:p>
    <w:p>
      <w:pPr>
        <w:rPr>
          <w:rFonts w:ascii="宋体" w:hAnsi="宋体" w:cs="宋体"/>
          <w:color w:val="auto"/>
          <w:highlight w:val="none"/>
        </w:rPr>
      </w:pPr>
    </w:p>
    <w:p>
      <w:pPr>
        <w:rPr>
          <w:rFonts w:ascii="宋体" w:hAnsi="宋体" w:cs="宋体"/>
          <w:color w:val="auto"/>
          <w:highlight w:val="none"/>
        </w:rPr>
      </w:pP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响应单位名称：</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u w:val="singl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姓名：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性别：</w:t>
      </w:r>
      <w:bookmarkStart w:id="45" w:name="_Toc352691662"/>
      <w:bookmarkStart w:id="46" w:name="_Toc369531698"/>
      <w:bookmarkStart w:id="47" w:name="_Toc27897"/>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bookmarkEnd w:id="45"/>
      <w:bookmarkEnd w:id="46"/>
      <w:bookmarkEnd w:id="47"/>
      <w:r>
        <w:rPr>
          <w:rFonts w:hint="eastAsia" w:ascii="宋体" w:hAnsi="宋体" w:cs="宋体"/>
          <w:bCs/>
          <w:color w:val="auto"/>
          <w:sz w:val="24"/>
          <w:highlight w:val="none"/>
        </w:rPr>
        <w:t>龄</w:t>
      </w:r>
      <w:bookmarkStart w:id="48" w:name="_Toc361508754"/>
      <w:bookmarkStart w:id="49" w:name="_Toc15573"/>
      <w:bookmarkStart w:id="50" w:name="_Toc369531699"/>
      <w:bookmarkStart w:id="51" w:name="_Toc144974858"/>
      <w:bookmarkStart w:id="52" w:name="_Toc152042578"/>
      <w:bookmarkStart w:id="53" w:name="_Toc300835211"/>
      <w:bookmarkStart w:id="54" w:name="_Toc352691663"/>
      <w:bookmarkStart w:id="55" w:name="_Toc247527829"/>
      <w:bookmarkStart w:id="56" w:name="_Toc152045789"/>
      <w:bookmarkStart w:id="57" w:name="_Toc384308377"/>
      <w:bookmarkStart w:id="58" w:name="_Toc247514248"/>
      <w:r>
        <w:rPr>
          <w:rFonts w:hint="eastAsia" w:ascii="宋体" w:hAnsi="宋体" w:cs="宋体"/>
          <w:bCs/>
          <w:color w:val="auto"/>
          <w:sz w:val="24"/>
          <w:highlight w:val="none"/>
        </w:rPr>
        <w:t>：</w:t>
      </w:r>
      <w:bookmarkEnd w:id="48"/>
      <w:bookmarkEnd w:id="49"/>
      <w:bookmarkEnd w:id="50"/>
      <w:bookmarkEnd w:id="51"/>
      <w:bookmarkEnd w:id="52"/>
      <w:bookmarkEnd w:id="53"/>
      <w:bookmarkEnd w:id="54"/>
      <w:bookmarkEnd w:id="55"/>
      <w:bookmarkEnd w:id="56"/>
      <w:bookmarkEnd w:id="57"/>
      <w:bookmarkEnd w:id="58"/>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系</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（响应单位名称）的法定代表人。</w:t>
      </w: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特此证明。</w:t>
      </w:r>
    </w:p>
    <w:p>
      <w:pPr>
        <w:topLinePunct/>
        <w:spacing w:line="600" w:lineRule="exact"/>
        <w:ind w:firstLine="360" w:firstLineChars="150"/>
        <w:rPr>
          <w:rFonts w:ascii="宋体" w:hAnsi="宋体" w:cs="宋体"/>
          <w:bCs/>
          <w:color w:val="auto"/>
          <w:sz w:val="24"/>
          <w:highlight w:val="none"/>
        </w:rPr>
      </w:pPr>
    </w:p>
    <w:p>
      <w:pPr>
        <w:topLinePunct/>
        <w:spacing w:line="6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附：法定代表人身份证复印件。</w:t>
      </w:r>
    </w:p>
    <w:p>
      <w:pPr>
        <w:spacing w:line="600" w:lineRule="exact"/>
        <w:ind w:firstLine="360" w:firstLineChars="150"/>
        <w:rPr>
          <w:rFonts w:ascii="宋体" w:hAnsi="宋体" w:cs="宋体"/>
          <w:bCs/>
          <w:color w:val="auto"/>
          <w:sz w:val="24"/>
          <w:highlight w:val="none"/>
        </w:rPr>
      </w:pPr>
    </w:p>
    <w:p>
      <w:pPr>
        <w:pStyle w:val="12"/>
        <w:spacing w:line="600" w:lineRule="exact"/>
        <w:ind w:firstLine="360" w:firstLineChars="150"/>
        <w:rPr>
          <w:rFonts w:hAnsi="宋体" w:cs="宋体"/>
          <w:bCs/>
          <w:color w:val="auto"/>
          <w:highlight w:val="none"/>
        </w:rPr>
      </w:pPr>
    </w:p>
    <w:p>
      <w:pPr>
        <w:rPr>
          <w:color w:val="auto"/>
          <w:sz w:val="24"/>
          <w:highlight w:val="none"/>
        </w:rPr>
      </w:pPr>
    </w:p>
    <w:p>
      <w:pPr>
        <w:topLinePunct/>
        <w:spacing w:line="600" w:lineRule="exact"/>
        <w:jc w:val="right"/>
        <w:rPr>
          <w:rFonts w:ascii="宋体" w:hAnsi="宋体" w:cs="宋体"/>
          <w:bCs/>
          <w:color w:val="auto"/>
          <w:sz w:val="24"/>
          <w:highlight w:val="none"/>
        </w:rPr>
      </w:pPr>
      <w:r>
        <w:rPr>
          <w:rFonts w:hint="eastAsia" w:ascii="宋体" w:hAnsi="宋体" w:cs="宋体"/>
          <w:bCs/>
          <w:color w:val="auto"/>
          <w:sz w:val="24"/>
          <w:highlight w:val="none"/>
        </w:rPr>
        <w:t>响应单位：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pPr>
        <w:ind w:firstLine="5520" w:firstLineChars="2300"/>
        <w:rPr>
          <w:rFonts w:ascii="宋体" w:hAnsi="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cs="宋体"/>
          <w:color w:val="auto"/>
          <w:sz w:val="28"/>
          <w:szCs w:val="28"/>
          <w:highlight w:val="none"/>
        </w:rPr>
      </w:pPr>
    </w:p>
    <w:p>
      <w:pPr>
        <w:pStyle w:val="12"/>
        <w:rPr>
          <w:rFonts w:hAnsi="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cs="宋体"/>
          <w:b/>
          <w:bCs/>
          <w:color w:val="auto"/>
          <w:kern w:val="0"/>
          <w:sz w:val="28"/>
          <w:szCs w:val="28"/>
          <w:highlight w:val="none"/>
          <w:lang w:val="zh-CN" w:bidi="ar"/>
        </w:rPr>
      </w:pPr>
      <w:bookmarkStart w:id="59" w:name="_Toc7142"/>
      <w:bookmarkStart w:id="60" w:name="_Toc18230"/>
      <w:bookmarkStart w:id="61" w:name="_Toc396236151"/>
      <w:bookmarkStart w:id="62" w:name="_Toc360630804"/>
      <w:bookmarkStart w:id="63" w:name="_Toc12389"/>
      <w:bookmarkStart w:id="64" w:name="_Toc27295"/>
      <w:bookmarkStart w:id="65" w:name="_Toc2962"/>
      <w:bookmarkStart w:id="66" w:name="_Toc13257"/>
      <w:bookmarkStart w:id="67" w:name="_Toc396236625"/>
      <w:bookmarkStart w:id="68" w:name="_Toc16317"/>
    </w:p>
    <w:p>
      <w:pPr>
        <w:pStyle w:val="6"/>
        <w:jc w:val="center"/>
        <w:rPr>
          <w:bCs w:val="0"/>
          <w:color w:val="auto"/>
          <w:kern w:val="0"/>
          <w:sz w:val="32"/>
          <w:szCs w:val="32"/>
          <w:highlight w:val="none"/>
          <w:lang w:val="zh-CN" w:bidi="ar"/>
        </w:rPr>
      </w:pPr>
      <w:bookmarkStart w:id="69" w:name="_Toc17265"/>
      <w:bookmarkStart w:id="70" w:name="_Toc1346"/>
      <w:r>
        <w:rPr>
          <w:rFonts w:hint="eastAsia"/>
          <w:bCs w:val="0"/>
          <w:color w:val="auto"/>
          <w:kern w:val="0"/>
          <w:sz w:val="32"/>
          <w:szCs w:val="32"/>
          <w:highlight w:val="none"/>
          <w:lang w:bidi="ar"/>
        </w:rPr>
        <w:t>2.</w:t>
      </w:r>
      <w:r>
        <w:rPr>
          <w:rFonts w:hint="eastAsia"/>
          <w:bCs w:val="0"/>
          <w:color w:val="auto"/>
          <w:kern w:val="0"/>
          <w:sz w:val="32"/>
          <w:szCs w:val="32"/>
          <w:highlight w:val="none"/>
          <w:lang w:val="zh-CN" w:bidi="ar"/>
        </w:rPr>
        <w:t>法定代表人授权委托书</w:t>
      </w:r>
      <w:bookmarkEnd w:id="59"/>
      <w:bookmarkEnd w:id="60"/>
      <w:bookmarkEnd w:id="61"/>
      <w:bookmarkEnd w:id="62"/>
      <w:bookmarkEnd w:id="63"/>
      <w:bookmarkEnd w:id="64"/>
      <w:bookmarkEnd w:id="65"/>
      <w:bookmarkEnd w:id="66"/>
      <w:bookmarkEnd w:id="67"/>
      <w:bookmarkEnd w:id="68"/>
      <w:bookmarkEnd w:id="69"/>
      <w:bookmarkEnd w:id="70"/>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(响应单位名称)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地块三十商品区东地块劳务分包</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highlight w:val="none"/>
          <w:u w:val="single"/>
        </w:rPr>
      </w:pPr>
      <w:r>
        <w:rPr>
          <w:rFonts w:hint="eastAsia" w:asciiTheme="minorEastAsia" w:hAnsiTheme="minorEastAsia" w:cstheme="minorEastAsia"/>
          <w:bCs/>
          <w:color w:val="auto"/>
          <w:highlight w:val="none"/>
        </w:rPr>
        <w:t>联系方式：</w:t>
      </w:r>
      <w:r>
        <w:rPr>
          <w:rFonts w:hint="eastAsia" w:asciiTheme="minorEastAsia" w:hAnsiTheme="minorEastAsia" w:cstheme="minorEastAsia"/>
          <w:bCs/>
          <w:color w:val="auto"/>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jc w:val="center"/>
        <w:rPr>
          <w:bCs w:val="0"/>
          <w:color w:val="auto"/>
          <w:kern w:val="0"/>
          <w:sz w:val="32"/>
          <w:szCs w:val="32"/>
          <w:highlight w:val="none"/>
          <w:lang w:bidi="ar"/>
        </w:rPr>
      </w:pPr>
      <w:bookmarkStart w:id="71" w:name="_Toc28350"/>
      <w:bookmarkStart w:id="72" w:name="_Toc5105"/>
      <w:bookmarkStart w:id="73" w:name="_Toc18023"/>
      <w:bookmarkStart w:id="74" w:name="_Toc30751"/>
      <w:r>
        <w:rPr>
          <w:rFonts w:hint="eastAsia"/>
          <w:bCs w:val="0"/>
          <w:color w:val="auto"/>
          <w:kern w:val="0"/>
          <w:sz w:val="32"/>
          <w:szCs w:val="32"/>
          <w:highlight w:val="none"/>
          <w:lang w:bidi="ar"/>
        </w:rPr>
        <w:t>七、供应商基本情况表</w:t>
      </w:r>
      <w:bookmarkEnd w:id="71"/>
      <w:bookmarkEnd w:id="72"/>
      <w:bookmarkEnd w:id="73"/>
      <w:bookmarkEnd w:id="74"/>
    </w:p>
    <w:p>
      <w:pPr>
        <w:spacing w:line="380" w:lineRule="exact"/>
        <w:jc w:val="center"/>
        <w:rPr>
          <w:rFonts w:ascii="宋体" w:hAnsi="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cs="宋体"/>
                <w:color w:val="auto"/>
                <w:sz w:val="24"/>
                <w:highlight w:val="none"/>
              </w:rPr>
            </w:pPr>
            <w:r>
              <w:rPr>
                <w:rFonts w:hint="eastAsia" w:ascii="宋体" w:hAnsi="宋体" w:cs="宋体"/>
                <w:b/>
                <w:bCs/>
                <w:color w:val="auto"/>
                <w:sz w:val="24"/>
                <w:highlight w:val="none"/>
              </w:rPr>
              <w:t>主要劳务范围</w:t>
            </w:r>
          </w:p>
          <w:p>
            <w:pPr>
              <w:jc w:val="center"/>
              <w:rPr>
                <w:color w:val="auto"/>
                <w:sz w:val="24"/>
                <w:highlight w:val="none"/>
              </w:rPr>
            </w:pPr>
            <w:r>
              <w:rPr>
                <w:rFonts w:hint="eastAsia" w:ascii="宋体" w:hAnsi="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jc w:val="center"/>
        <w:rPr>
          <w:bCs w:val="0"/>
          <w:color w:val="auto"/>
          <w:kern w:val="0"/>
          <w:sz w:val="32"/>
          <w:szCs w:val="32"/>
          <w:highlight w:val="none"/>
          <w:lang w:bidi="ar"/>
        </w:rPr>
      </w:pPr>
      <w:bookmarkStart w:id="75" w:name="_Toc15030"/>
      <w:bookmarkStart w:id="76" w:name="_Toc2339"/>
      <w:bookmarkStart w:id="77" w:name="_Toc26767"/>
      <w:bookmarkStart w:id="78" w:name="_Toc24831"/>
      <w:r>
        <w:rPr>
          <w:rFonts w:hint="eastAsia"/>
          <w:bCs w:val="0"/>
          <w:color w:val="auto"/>
          <w:kern w:val="0"/>
          <w:sz w:val="32"/>
          <w:szCs w:val="32"/>
          <w:highlight w:val="none"/>
          <w:lang w:bidi="ar"/>
        </w:rPr>
        <w:t>八、近三年类似业绩</w:t>
      </w:r>
      <w:bookmarkEnd w:id="75"/>
      <w:bookmarkEnd w:id="76"/>
      <w:bookmarkEnd w:id="77"/>
      <w:bookmarkEnd w:id="7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w:t>
      </w:r>
      <w:r>
        <w:rPr>
          <w:rFonts w:hint="eastAsia" w:asciiTheme="minorEastAsia" w:hAnsiTheme="minorEastAsia" w:eastAsiaTheme="minorEastAsia" w:cstheme="minorEastAsia"/>
          <w:color w:val="auto"/>
          <w:kern w:val="0"/>
          <w:szCs w:val="21"/>
          <w:highlight w:val="none"/>
        </w:rPr>
        <w:t>202</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02</w:t>
      </w:r>
      <w:r>
        <w:rPr>
          <w:rFonts w:hint="eastAsia" w:asciiTheme="minorEastAsia" w:hAnsiTheme="minorEastAsia" w:eastAsiaTheme="minorEastAsia" w:cstheme="minorEastAsia"/>
          <w:color w:val="auto"/>
          <w:kern w:val="0"/>
          <w:szCs w:val="21"/>
          <w:highlight w:val="none"/>
        </w:rPr>
        <w:t>月01日至今</w:t>
      </w:r>
      <w:r>
        <w:rPr>
          <w:rFonts w:hint="eastAsia" w:ascii="宋体" w:hAnsi="宋体"/>
          <w:color w:val="auto"/>
          <w:highlight w:val="none"/>
        </w:rPr>
        <w:t>的劳务</w:t>
      </w:r>
      <w:r>
        <w:rPr>
          <w:rFonts w:hint="eastAsia" w:ascii="宋体" w:hAnsi="宋体"/>
          <w:color w:val="auto"/>
          <w:highlight w:val="none"/>
          <w:lang w:val="en-US" w:eastAsia="zh-CN"/>
        </w:rPr>
        <w:t>分包</w:t>
      </w:r>
      <w:r>
        <w:rPr>
          <w:rFonts w:hint="eastAsia" w:ascii="宋体" w:hAnsi="宋体"/>
          <w:color w:val="auto"/>
          <w:highlight w:val="none"/>
        </w:rPr>
        <w:t>业绩，以合同签订日期为准；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2.应附合同协议书原件扫描件。此表可复制，每张表格只填写一个项目。</w:t>
      </w: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spacing w:line="380" w:lineRule="exact"/>
        <w:jc w:val="cente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rPr>
          <w:rFonts w:ascii="宋体" w:hAnsi="宋体" w:cs="宋体"/>
          <w:b/>
          <w:bCs/>
          <w:color w:val="auto"/>
          <w:kern w:val="0"/>
          <w:sz w:val="28"/>
          <w:szCs w:val="28"/>
          <w:highlight w:val="none"/>
          <w:lang w:bidi="ar"/>
        </w:rPr>
      </w:pPr>
    </w:p>
    <w:p>
      <w:pPr>
        <w:pStyle w:val="12"/>
        <w:rPr>
          <w:rFonts w:hAnsi="宋体" w:cs="宋体"/>
          <w:b/>
          <w:bCs/>
          <w:color w:val="auto"/>
          <w:kern w:val="0"/>
          <w:sz w:val="28"/>
          <w:szCs w:val="28"/>
          <w:highlight w:val="none"/>
          <w:lang w:bidi="ar"/>
        </w:rPr>
      </w:pPr>
    </w:p>
    <w:p>
      <w:pPr>
        <w:pStyle w:val="12"/>
        <w:rPr>
          <w:color w:val="auto"/>
          <w:highlight w:val="none"/>
        </w:rPr>
      </w:pPr>
    </w:p>
    <w:p>
      <w:pPr>
        <w:pStyle w:val="6"/>
        <w:jc w:val="center"/>
        <w:rPr>
          <w:bCs w:val="0"/>
          <w:color w:val="auto"/>
          <w:kern w:val="0"/>
          <w:sz w:val="32"/>
          <w:szCs w:val="32"/>
          <w:highlight w:val="none"/>
          <w:lang w:bidi="ar"/>
        </w:rPr>
      </w:pPr>
      <w:bookmarkStart w:id="79" w:name="_Toc17330"/>
      <w:bookmarkStart w:id="80" w:name="_Toc8006"/>
      <w:bookmarkStart w:id="81" w:name="_Toc3109"/>
      <w:bookmarkStart w:id="82" w:name="_Toc11194"/>
      <w:bookmarkStart w:id="83" w:name="_Toc26398"/>
      <w:r>
        <w:rPr>
          <w:rFonts w:hint="eastAsia"/>
          <w:bCs w:val="0"/>
          <w:color w:val="auto"/>
          <w:kern w:val="0"/>
          <w:sz w:val="32"/>
          <w:szCs w:val="32"/>
          <w:highlight w:val="none"/>
          <w:lang w:bidi="ar"/>
        </w:rPr>
        <w:t>九、承诺书</w:t>
      </w:r>
      <w:bookmarkEnd w:id="79"/>
      <w:bookmarkEnd w:id="80"/>
      <w:bookmarkEnd w:id="81"/>
      <w:bookmarkEnd w:id="82"/>
    </w:p>
    <w:p>
      <w:pPr>
        <w:spacing w:line="380" w:lineRule="exact"/>
        <w:jc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 xml:space="preserve">承  诺  书 </w:t>
      </w:r>
    </w:p>
    <w:p>
      <w:pPr>
        <w:spacing w:line="380" w:lineRule="exact"/>
        <w:jc w:val="center"/>
        <w:rPr>
          <w:rFonts w:ascii="宋体" w:hAnsi="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地块三十商品区东地块劳务分包</w:t>
      </w:r>
      <w:r>
        <w:rPr>
          <w:rFonts w:hint="eastAsia" w:ascii="宋体" w:hAnsi="宋体"/>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highlight w:val="none"/>
          <w:lang w:bidi="ar"/>
        </w:rPr>
      </w:pPr>
    </w:p>
    <w:p>
      <w:pPr>
        <w:pStyle w:val="2"/>
        <w:rPr>
          <w:color w:val="auto"/>
          <w:highlight w:val="none"/>
        </w:rPr>
      </w:pPr>
    </w:p>
    <w:p>
      <w:pPr>
        <w:pStyle w:val="6"/>
        <w:spacing w:line="500" w:lineRule="exact"/>
        <w:jc w:val="center"/>
        <w:rPr>
          <w:bCs w:val="0"/>
          <w:color w:val="auto"/>
          <w:kern w:val="0"/>
          <w:sz w:val="32"/>
          <w:szCs w:val="32"/>
          <w:highlight w:val="none"/>
          <w:lang w:bidi="ar"/>
        </w:rPr>
      </w:pPr>
      <w:bookmarkStart w:id="84" w:name="_Toc23278"/>
      <w:bookmarkStart w:id="85" w:name="_Toc9901"/>
      <w:bookmarkStart w:id="86" w:name="_Toc19356"/>
      <w:bookmarkStart w:id="87" w:name="_Toc2867"/>
      <w:r>
        <w:rPr>
          <w:rFonts w:hint="eastAsia"/>
          <w:bCs w:val="0"/>
          <w:color w:val="auto"/>
          <w:kern w:val="0"/>
          <w:sz w:val="32"/>
          <w:szCs w:val="32"/>
          <w:highlight w:val="none"/>
          <w:lang w:bidi="ar"/>
        </w:rPr>
        <w:t>十、劳务清单报价表</w:t>
      </w:r>
      <w:bookmarkEnd w:id="84"/>
      <w:bookmarkEnd w:id="85"/>
      <w:bookmarkEnd w:id="86"/>
      <w:bookmarkEnd w:id="87"/>
    </w:p>
    <w:p>
      <w:pPr>
        <w:pStyle w:val="2"/>
        <w:spacing w:line="500" w:lineRule="exact"/>
        <w:rPr>
          <w:b/>
          <w:bCs/>
          <w:color w:val="auto"/>
          <w:sz w:val="24"/>
          <w:highlight w:val="none"/>
        </w:rPr>
      </w:pPr>
      <w:r>
        <w:rPr>
          <w:rFonts w:hint="eastAsia" w:ascii="Calibri" w:hAnsi="Calibri"/>
          <w:b/>
          <w:bCs/>
          <w:color w:val="auto"/>
          <w:sz w:val="24"/>
          <w:highlight w:val="none"/>
        </w:rPr>
        <w:t>一、劳务报价说明，</w:t>
      </w:r>
      <w:r>
        <w:rPr>
          <w:rFonts w:hint="eastAsia"/>
          <w:b/>
          <w:bCs/>
          <w:color w:val="auto"/>
          <w:sz w:val="24"/>
          <w:highlight w:val="none"/>
        </w:rPr>
        <w:t>本次报价包含以下内容：</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车库架空管、室外直埋管及其管件报价包含裸管件保温、管道接头保温补口（含材料，不单独报）；换热站及二网支吊架包含预埋钢板、化学锚栓、膨胀锚栓（螺丝）、聚四氟乙烯垫、管道和支架刷防锈漆；二网基础报价包含钢筋、混凝土等材料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楼道立管报价含管件安装及与户内预留管连接工作，开洞、孔洞修正、扩洞及套管安装，套管内封堵、套管外封堵（含材料）；立管支架用U型卡、膨胀螺丝等材料采购及安装费用；立管固定支架材料采购及安装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5.本次报价含水泵、除污器、过滤器就位、安装，大型机组配合设备厂家就位，工程涉及的法兰阀门、过滤器、除污器、软连接等的报价包含所需法兰、垫片的材料及安装费；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6.本次报价包含第一个供热季的调试及试运行费用、站内过滤器、分户过滤器清洗；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7.包含两个供热季跑冒滴漏维修及管道保温恢复；</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8.本次报价包含可能的协调费、处罚（包含但不限于安全处罚和环保处罚等）、电费（包含发电机）、住宿费、工人保险费、管材到场卸车、倒运、退货等涉及人工机械费用等费用；</w:t>
      </w:r>
    </w:p>
    <w:p>
      <w:pPr>
        <w:spacing w:line="440" w:lineRule="exact"/>
        <w:ind w:firstLine="547" w:firstLineChars="228"/>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10.安全文明施工：包含灭火器、土工布、降尘抑尘措施、雾炮车、道路冲洗、围挡、警示标志、标牌、焊烟收集器及个人防护用品等；</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11.如无特殊情况，领取的材料超过实际用量未退回的，按照甲方采买价格从劳务费中扣除；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12.各项目按图纸要求进行焊口检测，检测合格率要求达到95%以上，如达不到，按返修口60元/片处罚，并且二次检测费用由劳务承担；合格率低于90%的劳务队伍予以清退。</w:t>
      </w:r>
    </w:p>
    <w:p>
      <w:pPr>
        <w:spacing w:line="440" w:lineRule="exact"/>
        <w:ind w:firstLine="547" w:firstLineChars="228"/>
        <w:jc w:val="left"/>
        <w:rPr>
          <w:rFonts w:hint="eastAsia" w:ascii="宋体" w:hAnsi="宋体" w:cs="宋体"/>
          <w:color w:val="auto"/>
          <w:sz w:val="24"/>
          <w:highlight w:val="none"/>
        </w:rPr>
      </w:pPr>
    </w:p>
    <w:p>
      <w:pPr>
        <w:pStyle w:val="2"/>
        <w:spacing w:line="500" w:lineRule="exact"/>
        <w:rPr>
          <w:rFonts w:asciiTheme="minorEastAsia" w:hAnsiTheme="minorEastAsia" w:cstheme="minorEastAsia"/>
          <w:color w:val="auto"/>
          <w:kern w:val="0"/>
          <w:sz w:val="24"/>
          <w:highlight w:val="none"/>
          <w:lang w:bidi="ar"/>
        </w:rPr>
      </w:pPr>
      <w:r>
        <w:rPr>
          <w:rFonts w:hint="eastAsia" w:ascii="Calibri" w:hAnsi="Calibri"/>
          <w:b/>
          <w:bCs/>
          <w:color w:val="auto"/>
          <w:sz w:val="24"/>
          <w:highlight w:val="none"/>
        </w:rPr>
        <w:t>二、劳务清单报价表（见附件）</w:t>
      </w:r>
    </w:p>
    <w:p>
      <w:pPr>
        <w:rPr>
          <w:rFonts w:hint="eastAsia" w:asciiTheme="minorEastAsia" w:hAnsiTheme="minorEastAsia" w:cstheme="minorEastAsia"/>
          <w:b/>
          <w:bCs/>
          <w:color w:val="auto"/>
          <w:kern w:val="0"/>
          <w:sz w:val="28"/>
          <w:szCs w:val="28"/>
          <w:highlight w:val="none"/>
          <w:lang w:bidi="ar"/>
        </w:rPr>
      </w:pPr>
      <w:bookmarkStart w:id="88" w:name="OLE_LINK4"/>
    </w:p>
    <w:p>
      <w:pPr>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注：</w:t>
      </w:r>
      <w:r>
        <w:rPr>
          <w:rFonts w:hint="eastAsia" w:asciiTheme="minorEastAsia" w:hAnsiTheme="minorEastAsia" w:cstheme="minorEastAsia"/>
          <w:b/>
          <w:bCs/>
          <w:color w:val="auto"/>
          <w:kern w:val="0"/>
          <w:sz w:val="28"/>
          <w:szCs w:val="28"/>
          <w:highlight w:val="none"/>
          <w:lang w:val="en-US" w:eastAsia="zh-CN" w:bidi="ar"/>
        </w:rPr>
        <w:t>1.</w:t>
      </w:r>
      <w:r>
        <w:rPr>
          <w:rFonts w:hint="eastAsia" w:asciiTheme="minorEastAsia" w:hAnsiTheme="minorEastAsia" w:cstheme="minorEastAsia"/>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default" w:eastAsia="宋体"/>
          <w:color w:val="auto"/>
          <w:highlight w:val="none"/>
          <w:lang w:val="en-US" w:eastAsia="zh-CN"/>
        </w:rPr>
      </w:pPr>
      <w:r>
        <w:rPr>
          <w:rFonts w:hint="eastAsia" w:asciiTheme="minorEastAsia" w:hAnsiTheme="minorEastAsia" w:cstheme="minorEastAsia"/>
          <w:b/>
          <w:bCs/>
          <w:color w:val="auto"/>
          <w:kern w:val="0"/>
          <w:sz w:val="28"/>
          <w:szCs w:val="28"/>
          <w:highlight w:val="none"/>
          <w:lang w:val="en-US" w:eastAsia="zh-CN" w:bidi="ar"/>
        </w:rPr>
        <w:t>2.所有报价最多保留两位小数，不得出现隐藏数位。</w:t>
      </w:r>
    </w:p>
    <w:p>
      <w:pPr>
        <w:pStyle w:val="2"/>
        <w:ind w:firstLine="560" w:firstLineChars="200"/>
        <w:rPr>
          <w:rFonts w:hint="default" w:eastAsia="宋体"/>
          <w:color w:val="auto"/>
          <w:highlight w:val="none"/>
          <w:lang w:val="en-US" w:eastAsia="zh-CN"/>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rPr>
          <w:rFonts w:asciiTheme="minorEastAsia" w:hAnsiTheme="minorEastAsia" w:cstheme="minorEastAsia"/>
          <w:b/>
          <w:bCs/>
          <w:color w:val="auto"/>
          <w:kern w:val="0"/>
          <w:sz w:val="28"/>
          <w:szCs w:val="28"/>
          <w:highlight w:val="none"/>
          <w:lang w:bidi="ar"/>
        </w:rPr>
      </w:pPr>
    </w:p>
    <w:p>
      <w:pPr>
        <w:pStyle w:val="2"/>
        <w:rPr>
          <w:rFonts w:asciiTheme="minorEastAsia" w:hAnsiTheme="minorEastAsia" w:cstheme="minorEastAsia"/>
          <w:b/>
          <w:bCs/>
          <w:color w:val="auto"/>
          <w:kern w:val="0"/>
          <w:szCs w:val="28"/>
          <w:highlight w:val="none"/>
          <w:lang w:bidi="ar"/>
        </w:rPr>
      </w:pPr>
    </w:p>
    <w:p>
      <w:pPr>
        <w:pStyle w:val="2"/>
        <w:rPr>
          <w:color w:val="auto"/>
          <w:highlight w:val="none"/>
        </w:rPr>
      </w:pPr>
    </w:p>
    <w:bookmarkEnd w:id="83"/>
    <w:bookmarkEnd w:id="88"/>
    <w:p>
      <w:pPr>
        <w:pStyle w:val="6"/>
        <w:numPr>
          <w:ilvl w:val="0"/>
          <w:numId w:val="4"/>
        </w:numPr>
        <w:jc w:val="center"/>
        <w:rPr>
          <w:bCs w:val="0"/>
          <w:color w:val="auto"/>
          <w:kern w:val="0"/>
          <w:sz w:val="32"/>
          <w:szCs w:val="32"/>
          <w:highlight w:val="none"/>
          <w:lang w:bidi="ar"/>
        </w:rPr>
      </w:pPr>
      <w:bookmarkStart w:id="89" w:name="_Toc31424"/>
      <w:r>
        <w:rPr>
          <w:rFonts w:hint="eastAsia"/>
          <w:bCs w:val="0"/>
          <w:color w:val="auto"/>
          <w:kern w:val="0"/>
          <w:sz w:val="32"/>
          <w:szCs w:val="32"/>
          <w:highlight w:val="none"/>
          <w:lang w:bidi="ar"/>
        </w:rPr>
        <w:t>技术方案</w:t>
      </w:r>
      <w:bookmarkEnd w:id="89"/>
    </w:p>
    <w:p>
      <w:pPr>
        <w:spacing w:line="480" w:lineRule="exact"/>
        <w:jc w:val="left"/>
        <w:rPr>
          <w:rFonts w:ascii="宋体" w:hAnsi="宋体" w:cs="宋体"/>
          <w:color w:val="auto"/>
          <w:sz w:val="24"/>
          <w:highlight w:val="none"/>
        </w:rPr>
      </w:pPr>
      <w:r>
        <w:rPr>
          <w:rFonts w:hint="eastAsia" w:ascii="宋体" w:hAnsi="宋体" w:cs="宋体"/>
          <w:color w:val="auto"/>
          <w:sz w:val="24"/>
          <w:highlight w:val="none"/>
        </w:rPr>
        <w:t>1.技术方案应包括（但不限于）下列内容：</w:t>
      </w:r>
    </w:p>
    <w:p>
      <w:pPr>
        <w:spacing w:before="48" w:beforeLines="20"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1）施工方法及主要技术措施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2）施工进度计划及保证措施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3）工程质量保证措施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4）安全生产及文明施工措施</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5）主要施工机具、劳动力使用计划</w:t>
      </w:r>
    </w:p>
    <w:p>
      <w:pPr>
        <w:tabs>
          <w:tab w:val="left" w:pos="720"/>
        </w:tabs>
        <w:spacing w:line="440" w:lineRule="exact"/>
        <w:rPr>
          <w:rFonts w:ascii="宋体" w:hAnsi="宋体" w:cs="宋体"/>
          <w:color w:val="auto"/>
          <w:sz w:val="24"/>
          <w:highlight w:val="none"/>
        </w:rPr>
      </w:pPr>
      <w:r>
        <w:rPr>
          <w:rFonts w:hint="eastAsia" w:ascii="宋体" w:hAnsi="宋体" w:cs="宋体"/>
          <w:color w:val="auto"/>
          <w:sz w:val="24"/>
          <w:highlight w:val="none"/>
        </w:rPr>
        <w:t>2.图表及格式要求：</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附表一 安全文明施工物资设备清单</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附表二 拟投入的主要施工设备表</w:t>
      </w:r>
    </w:p>
    <w:p>
      <w:pPr>
        <w:spacing w:line="480" w:lineRule="exact"/>
        <w:ind w:firstLine="283" w:firstLineChars="118"/>
        <w:jc w:val="left"/>
        <w:rPr>
          <w:rFonts w:ascii="宋体" w:hAnsi="宋体" w:cs="宋体"/>
          <w:color w:val="auto"/>
          <w:sz w:val="24"/>
          <w:highlight w:val="none"/>
        </w:rPr>
      </w:pPr>
      <w:r>
        <w:rPr>
          <w:rFonts w:hint="eastAsia" w:ascii="宋体" w:hAnsi="宋体" w:cs="宋体"/>
          <w:color w:val="auto"/>
          <w:sz w:val="24"/>
          <w:highlight w:val="none"/>
        </w:rPr>
        <w:t>附表三 劳动力计划表</w:t>
      </w:r>
    </w:p>
    <w:p>
      <w:pPr>
        <w:tabs>
          <w:tab w:val="left" w:pos="720"/>
        </w:tabs>
        <w:spacing w:line="440" w:lineRule="exact"/>
        <w:ind w:firstLine="360" w:firstLineChars="150"/>
        <w:rPr>
          <w:rFonts w:ascii="宋体" w:hAnsi="宋体" w:cs="宋体"/>
          <w:color w:val="auto"/>
          <w:sz w:val="24"/>
          <w:highlight w:val="none"/>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附表一：安全文明施工物资设备清单</w:t>
      </w:r>
    </w:p>
    <w:p>
      <w:pPr>
        <w:pStyle w:val="2"/>
        <w:rPr>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水泵</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防护栏杆（或围挡）</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标准配电箱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照明灯具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警示灯</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警戒带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急救箱</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灭火器</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电焊手套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焊接面罩</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安全绳</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安全带</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安全帽</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防护服</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反光工作服（马甲）</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对讲机</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雨鞋、雨衣</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防护手套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ascii="宋体" w:hAnsi="宋体"/>
                <w:color w:val="auto"/>
                <w:szCs w:val="21"/>
                <w:highlight w:val="none"/>
              </w:rPr>
            </w:pPr>
          </w:p>
        </w:tc>
      </w:tr>
    </w:tbl>
    <w:p>
      <w:pPr>
        <w:pStyle w:val="2"/>
        <w:spacing w:line="340" w:lineRule="exact"/>
        <w:ind w:firstLine="422" w:firstLineChars="200"/>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备注：1.安全文明施工费包含此表中所列物资设备费用，此表为必填项，未填响应文件按无效处理。</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2.劳务施工期间严格按照此表配备物资设备，现场随时检查。</w:t>
      </w:r>
    </w:p>
    <w:p>
      <w:pPr>
        <w:spacing w:line="340" w:lineRule="exact"/>
        <w:ind w:firstLine="1054" w:firstLineChars="5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3.此表可根据情况扩展修改。</w:t>
      </w: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ascii="宋体" w:hAnsi="宋体"/>
          <w:b/>
          <w:color w:val="auto"/>
          <w:sz w:val="28"/>
          <w:szCs w:val="28"/>
          <w:highlight w:val="none"/>
        </w:rPr>
      </w:pPr>
      <w:r>
        <w:rPr>
          <w:rFonts w:hint="eastAsia" w:ascii="宋体" w:hAnsi="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spacing w:line="440" w:lineRule="exact"/>
        <w:rPr>
          <w:rFonts w:ascii="宋体" w:hAnsi="宋体"/>
          <w:color w:val="auto"/>
          <w:sz w:val="20"/>
          <w:highlight w:val="none"/>
        </w:rPr>
      </w:pPr>
    </w:p>
    <w:p>
      <w:pPr>
        <w:spacing w:line="440" w:lineRule="exact"/>
        <w:rPr>
          <w:rFonts w:ascii="宋体" w:hAnsi="宋体"/>
          <w:color w:val="auto"/>
          <w:sz w:val="20"/>
          <w:highlight w:val="none"/>
        </w:rPr>
      </w:pPr>
    </w:p>
    <w:p>
      <w:pPr>
        <w:pStyle w:val="2"/>
        <w:rPr>
          <w:rFonts w:ascii="宋体" w:hAnsi="宋体"/>
          <w:color w:val="auto"/>
          <w:sz w:val="20"/>
          <w:highlight w:val="none"/>
        </w:rPr>
      </w:pPr>
    </w:p>
    <w:p>
      <w:pPr>
        <w:rPr>
          <w:rFonts w:ascii="宋体" w:hAnsi="宋体"/>
          <w:color w:val="auto"/>
          <w:sz w:val="20"/>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t>附表三：劳动力计划表</w:t>
      </w:r>
    </w:p>
    <w:p>
      <w:pPr>
        <w:spacing w:line="440" w:lineRule="exact"/>
        <w:ind w:right="620"/>
        <w:jc w:val="right"/>
        <w:rPr>
          <w:rFonts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olor w:val="auto"/>
                <w:szCs w:val="21"/>
                <w:highlight w:val="none"/>
              </w:rPr>
            </w:pPr>
          </w:p>
        </w:tc>
      </w:tr>
    </w:tbl>
    <w:p>
      <w:pPr>
        <w:pStyle w:val="13"/>
        <w:rPr>
          <w:rFonts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jc w:val="center"/>
        <w:rPr>
          <w:bCs w:val="0"/>
          <w:color w:val="auto"/>
          <w:kern w:val="0"/>
          <w:sz w:val="32"/>
          <w:szCs w:val="32"/>
          <w:highlight w:val="none"/>
          <w:lang w:bidi="ar"/>
        </w:rPr>
      </w:pPr>
      <w:bookmarkStart w:id="90" w:name="_Toc13943"/>
      <w:r>
        <w:rPr>
          <w:rFonts w:hint="eastAsia"/>
          <w:bCs w:val="0"/>
          <w:color w:val="auto"/>
          <w:kern w:val="0"/>
          <w:sz w:val="32"/>
          <w:szCs w:val="32"/>
          <w:highlight w:val="none"/>
          <w:lang w:bidi="ar"/>
        </w:rPr>
        <w:t>十二、其他资料</w:t>
      </w:r>
      <w:bookmarkEnd w:id="90"/>
    </w:p>
    <w:p>
      <w:pPr>
        <w:rPr>
          <w:color w:val="auto"/>
          <w:sz w:val="24"/>
          <w:highlight w:val="none"/>
        </w:rPr>
      </w:pP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单位认为应提交的其他资料。</w:t>
      </w:r>
    </w:p>
    <w:p>
      <w:pPr>
        <w:pStyle w:val="2"/>
        <w:tabs>
          <w:tab w:val="left" w:pos="8280"/>
          <w:tab w:val="clear" w:pos="1155"/>
        </w:tabs>
        <w:spacing w:line="520" w:lineRule="exact"/>
        <w:ind w:firstLine="608"/>
        <w:rPr>
          <w:rFonts w:ascii="宋体" w:hAnsi="宋体" w:cs="宋体"/>
          <w:color w:val="auto"/>
          <w:szCs w:val="28"/>
          <w:highlight w:val="none"/>
        </w:rPr>
      </w:pPr>
    </w:p>
    <w:p>
      <w:pPr>
        <w:pStyle w:val="2"/>
        <w:tabs>
          <w:tab w:val="left" w:pos="8280"/>
          <w:tab w:val="clear" w:pos="1155"/>
        </w:tabs>
        <w:spacing w:line="520" w:lineRule="exact"/>
        <w:ind w:firstLine="528"/>
        <w:rPr>
          <w:color w:val="auto"/>
          <w:highlight w:val="none"/>
        </w:rPr>
      </w:pPr>
    </w:p>
    <w:p>
      <w:pPr>
        <w:pStyle w:val="2"/>
        <w:tabs>
          <w:tab w:val="left" w:pos="8280"/>
          <w:tab w:val="clear" w:pos="1155"/>
        </w:tabs>
        <w:ind w:firstLine="530"/>
        <w:rPr>
          <w:b/>
          <w:bCs/>
          <w:color w:val="auto"/>
          <w:highlight w:val="none"/>
        </w:rPr>
      </w:pPr>
    </w:p>
    <w:sectPr>
      <w:footerReference r:id="rId4" w:type="default"/>
      <w:pgSz w:w="11906" w:h="16838"/>
      <w:pgMar w:top="1417" w:right="1417" w:bottom="1417" w:left="147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21466B3"/>
    <w:rsid w:val="02482F74"/>
    <w:rsid w:val="02691984"/>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197722"/>
    <w:rsid w:val="052B546B"/>
    <w:rsid w:val="054E4957"/>
    <w:rsid w:val="05570B45"/>
    <w:rsid w:val="058017E4"/>
    <w:rsid w:val="05C030DA"/>
    <w:rsid w:val="05C7169D"/>
    <w:rsid w:val="05CC0260"/>
    <w:rsid w:val="05F041C0"/>
    <w:rsid w:val="06067BCB"/>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37F13"/>
    <w:rsid w:val="08E70CEF"/>
    <w:rsid w:val="08F33881"/>
    <w:rsid w:val="08FD6892"/>
    <w:rsid w:val="091044EC"/>
    <w:rsid w:val="09273409"/>
    <w:rsid w:val="093B48B8"/>
    <w:rsid w:val="095F13EB"/>
    <w:rsid w:val="097114C8"/>
    <w:rsid w:val="09B74B30"/>
    <w:rsid w:val="09C00AFC"/>
    <w:rsid w:val="09CF1C32"/>
    <w:rsid w:val="09F8206C"/>
    <w:rsid w:val="0A46459A"/>
    <w:rsid w:val="0A740A1D"/>
    <w:rsid w:val="0A9771DA"/>
    <w:rsid w:val="0AC9453B"/>
    <w:rsid w:val="0ACF61B8"/>
    <w:rsid w:val="0AD100BF"/>
    <w:rsid w:val="0AD211C7"/>
    <w:rsid w:val="0AF40659"/>
    <w:rsid w:val="0B09160F"/>
    <w:rsid w:val="0B3A6748"/>
    <w:rsid w:val="0B4437B1"/>
    <w:rsid w:val="0B4D7ACC"/>
    <w:rsid w:val="0B625697"/>
    <w:rsid w:val="0B7E21AE"/>
    <w:rsid w:val="0B7F7AE6"/>
    <w:rsid w:val="0B910ED9"/>
    <w:rsid w:val="0BBD7979"/>
    <w:rsid w:val="0BDD06D2"/>
    <w:rsid w:val="0C0F0E5D"/>
    <w:rsid w:val="0C450D6C"/>
    <w:rsid w:val="0C4F5B11"/>
    <w:rsid w:val="0C873BC0"/>
    <w:rsid w:val="0CA75FE9"/>
    <w:rsid w:val="0CF07C3A"/>
    <w:rsid w:val="0CFA095E"/>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3C2183"/>
    <w:rsid w:val="0F4D38FA"/>
    <w:rsid w:val="0F683238"/>
    <w:rsid w:val="0F751406"/>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80F18"/>
    <w:rsid w:val="15F27E2C"/>
    <w:rsid w:val="160A3C74"/>
    <w:rsid w:val="162815F2"/>
    <w:rsid w:val="1698748D"/>
    <w:rsid w:val="16C703BB"/>
    <w:rsid w:val="16D3294B"/>
    <w:rsid w:val="170F142A"/>
    <w:rsid w:val="17530D90"/>
    <w:rsid w:val="176063AF"/>
    <w:rsid w:val="177C3273"/>
    <w:rsid w:val="177F42A1"/>
    <w:rsid w:val="17AA2ACD"/>
    <w:rsid w:val="17D664FB"/>
    <w:rsid w:val="17DA603F"/>
    <w:rsid w:val="1803792E"/>
    <w:rsid w:val="18253800"/>
    <w:rsid w:val="18270E13"/>
    <w:rsid w:val="182A12BF"/>
    <w:rsid w:val="18510A99"/>
    <w:rsid w:val="18566E61"/>
    <w:rsid w:val="18623D43"/>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61597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72D8A"/>
    <w:rsid w:val="231A075E"/>
    <w:rsid w:val="234B5903"/>
    <w:rsid w:val="234D0AD8"/>
    <w:rsid w:val="23560464"/>
    <w:rsid w:val="23A21F86"/>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6936B4"/>
    <w:rsid w:val="286C6B36"/>
    <w:rsid w:val="28707ECA"/>
    <w:rsid w:val="289E6721"/>
    <w:rsid w:val="28C3509B"/>
    <w:rsid w:val="2907532F"/>
    <w:rsid w:val="2910157E"/>
    <w:rsid w:val="294B347C"/>
    <w:rsid w:val="29787DF3"/>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B547C2"/>
    <w:rsid w:val="2CC41C4B"/>
    <w:rsid w:val="2CF362FD"/>
    <w:rsid w:val="2CF926E4"/>
    <w:rsid w:val="2D0D47CD"/>
    <w:rsid w:val="2D102BF9"/>
    <w:rsid w:val="2D3C76F4"/>
    <w:rsid w:val="2D3E010B"/>
    <w:rsid w:val="2D4D636B"/>
    <w:rsid w:val="2D562DE4"/>
    <w:rsid w:val="2D6B2EB5"/>
    <w:rsid w:val="2DAF2092"/>
    <w:rsid w:val="2DBA2F55"/>
    <w:rsid w:val="2DC1020F"/>
    <w:rsid w:val="2DE11387"/>
    <w:rsid w:val="2E79792A"/>
    <w:rsid w:val="2E8B665B"/>
    <w:rsid w:val="2EBE11F1"/>
    <w:rsid w:val="2EC63817"/>
    <w:rsid w:val="2ED07271"/>
    <w:rsid w:val="2FCF70DB"/>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257A6D"/>
    <w:rsid w:val="324B7C11"/>
    <w:rsid w:val="329F7084"/>
    <w:rsid w:val="32CD234D"/>
    <w:rsid w:val="330508B6"/>
    <w:rsid w:val="331034BC"/>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BA1D5F"/>
    <w:rsid w:val="37C65CB3"/>
    <w:rsid w:val="37FB533B"/>
    <w:rsid w:val="382F1C4B"/>
    <w:rsid w:val="386C12AB"/>
    <w:rsid w:val="387C6CD3"/>
    <w:rsid w:val="38BD3C39"/>
    <w:rsid w:val="38CC1E7E"/>
    <w:rsid w:val="38E10C17"/>
    <w:rsid w:val="39072947"/>
    <w:rsid w:val="390F0E67"/>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D61DF5"/>
    <w:rsid w:val="49EC224C"/>
    <w:rsid w:val="4A054E7C"/>
    <w:rsid w:val="4A16118F"/>
    <w:rsid w:val="4A453CEE"/>
    <w:rsid w:val="4A501992"/>
    <w:rsid w:val="4A8D6A8D"/>
    <w:rsid w:val="4A9C24DA"/>
    <w:rsid w:val="4A9D27AC"/>
    <w:rsid w:val="4AB52BE8"/>
    <w:rsid w:val="4AF24FBC"/>
    <w:rsid w:val="4B67770B"/>
    <w:rsid w:val="4B9746B3"/>
    <w:rsid w:val="4BBB3347"/>
    <w:rsid w:val="4BE442BB"/>
    <w:rsid w:val="4BEB29DC"/>
    <w:rsid w:val="4BED32E8"/>
    <w:rsid w:val="4C004579"/>
    <w:rsid w:val="4C060A66"/>
    <w:rsid w:val="4C343A36"/>
    <w:rsid w:val="4C371E51"/>
    <w:rsid w:val="4C5F0208"/>
    <w:rsid w:val="4C6563D3"/>
    <w:rsid w:val="4C742B44"/>
    <w:rsid w:val="4C817665"/>
    <w:rsid w:val="4C871E9E"/>
    <w:rsid w:val="4C9D0EDE"/>
    <w:rsid w:val="4CA86510"/>
    <w:rsid w:val="4CBE13D1"/>
    <w:rsid w:val="4CD8104F"/>
    <w:rsid w:val="4CDD5E7C"/>
    <w:rsid w:val="4CE47F09"/>
    <w:rsid w:val="4CEF1D26"/>
    <w:rsid w:val="4CF640AF"/>
    <w:rsid w:val="4D2573D1"/>
    <w:rsid w:val="4D625E90"/>
    <w:rsid w:val="4D6B16DA"/>
    <w:rsid w:val="4D701D02"/>
    <w:rsid w:val="4D7C5CCF"/>
    <w:rsid w:val="4DAE4F0E"/>
    <w:rsid w:val="4DB4421B"/>
    <w:rsid w:val="4DDE26C9"/>
    <w:rsid w:val="4DDE330B"/>
    <w:rsid w:val="4DEC4CB1"/>
    <w:rsid w:val="4DF146DD"/>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E35F9"/>
    <w:rsid w:val="4FE614EB"/>
    <w:rsid w:val="4FF84AD6"/>
    <w:rsid w:val="500D6A78"/>
    <w:rsid w:val="501C1158"/>
    <w:rsid w:val="50320027"/>
    <w:rsid w:val="503A5697"/>
    <w:rsid w:val="504058BC"/>
    <w:rsid w:val="50827466"/>
    <w:rsid w:val="50893EC8"/>
    <w:rsid w:val="509067D8"/>
    <w:rsid w:val="5099042C"/>
    <w:rsid w:val="50A82C45"/>
    <w:rsid w:val="50B75F9B"/>
    <w:rsid w:val="50C27555"/>
    <w:rsid w:val="50D40202"/>
    <w:rsid w:val="50D457E8"/>
    <w:rsid w:val="51042532"/>
    <w:rsid w:val="510B66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365718"/>
    <w:rsid w:val="53566988"/>
    <w:rsid w:val="53A073DA"/>
    <w:rsid w:val="53AD5DF4"/>
    <w:rsid w:val="53B2143C"/>
    <w:rsid w:val="53C97369"/>
    <w:rsid w:val="53D667A7"/>
    <w:rsid w:val="53D67988"/>
    <w:rsid w:val="53E9751D"/>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6124180"/>
    <w:rsid w:val="56222B52"/>
    <w:rsid w:val="56270A80"/>
    <w:rsid w:val="56294ABC"/>
    <w:rsid w:val="564A7D70"/>
    <w:rsid w:val="56737851"/>
    <w:rsid w:val="567614FF"/>
    <w:rsid w:val="56B00418"/>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93BF8"/>
    <w:rsid w:val="581B0B64"/>
    <w:rsid w:val="588B41C8"/>
    <w:rsid w:val="58CA32E2"/>
    <w:rsid w:val="58D35D0B"/>
    <w:rsid w:val="58E158AF"/>
    <w:rsid w:val="58F12BD9"/>
    <w:rsid w:val="59002A9B"/>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9A066A"/>
    <w:rsid w:val="5FB222AF"/>
    <w:rsid w:val="5FB55088"/>
    <w:rsid w:val="5FFB3D15"/>
    <w:rsid w:val="60161703"/>
    <w:rsid w:val="601A5F60"/>
    <w:rsid w:val="603A393A"/>
    <w:rsid w:val="607D5A8D"/>
    <w:rsid w:val="60896B0A"/>
    <w:rsid w:val="60A369FA"/>
    <w:rsid w:val="60A76A75"/>
    <w:rsid w:val="60AF76D8"/>
    <w:rsid w:val="60E4619C"/>
    <w:rsid w:val="61274E59"/>
    <w:rsid w:val="612C12BA"/>
    <w:rsid w:val="6142298B"/>
    <w:rsid w:val="61607FC8"/>
    <w:rsid w:val="61A50BFE"/>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435736"/>
    <w:rsid w:val="6850401C"/>
    <w:rsid w:val="68A223E7"/>
    <w:rsid w:val="68AE3ECB"/>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7457B6"/>
    <w:rsid w:val="6B9A16B0"/>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1A1BD8"/>
    <w:rsid w:val="714D64DA"/>
    <w:rsid w:val="71A60683"/>
    <w:rsid w:val="71D602F7"/>
    <w:rsid w:val="721F25E6"/>
    <w:rsid w:val="72225F5B"/>
    <w:rsid w:val="72325E8F"/>
    <w:rsid w:val="726310A6"/>
    <w:rsid w:val="727B601C"/>
    <w:rsid w:val="7291547F"/>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C167E5"/>
    <w:rsid w:val="7C1C1C6D"/>
    <w:rsid w:val="7C3564FE"/>
    <w:rsid w:val="7C5D32E5"/>
    <w:rsid w:val="7C784E84"/>
    <w:rsid w:val="7C83431C"/>
    <w:rsid w:val="7C892AB5"/>
    <w:rsid w:val="7CC876B0"/>
    <w:rsid w:val="7CFA7FFD"/>
    <w:rsid w:val="7D763AFD"/>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3</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2025-11-05T06:22:00Z</cp:lastPrinted>
  <dcterms:modified xsi:type="dcterms:W3CDTF">2026-03-03T01:01:49Z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