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7C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4"/>
          <w:rFonts w:hint="eastAsia" w:ascii="宋体" w:hAnsi="宋体" w:eastAsia="宋体" w:cs="宋体"/>
          <w:b/>
          <w:bCs/>
          <w:i w:val="0"/>
          <w:iCs w:val="0"/>
          <w:caps w:val="0"/>
          <w:color w:val="2B2B2B"/>
          <w:spacing w:val="0"/>
          <w:sz w:val="32"/>
          <w:szCs w:val="32"/>
          <w:lang w:val="en-US" w:eastAsia="zh-CN"/>
        </w:rPr>
      </w:pPr>
      <w:r>
        <w:rPr>
          <w:rStyle w:val="14"/>
          <w:rFonts w:hint="eastAsia" w:ascii="宋体" w:hAnsi="宋体" w:eastAsia="宋体" w:cs="宋体"/>
          <w:b/>
          <w:bCs/>
          <w:i w:val="0"/>
          <w:iCs w:val="0"/>
          <w:caps w:val="0"/>
          <w:color w:val="2B2B2B"/>
          <w:spacing w:val="0"/>
          <w:sz w:val="32"/>
          <w:szCs w:val="32"/>
          <w:lang w:val="en-US" w:eastAsia="zh-CN"/>
        </w:rPr>
        <w:t>评分标准</w:t>
      </w:r>
    </w:p>
    <w:p w14:paraId="3A31D7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4"/>
          <w:rFonts w:hint="eastAsia" w:ascii="宋体" w:hAnsi="宋体" w:eastAsia="宋体" w:cs="宋体"/>
          <w:b/>
          <w:bCs/>
          <w:i w:val="0"/>
          <w:iCs w:val="0"/>
          <w:caps w:val="0"/>
          <w:color w:val="2B2B2B"/>
          <w:spacing w:val="0"/>
          <w:sz w:val="32"/>
          <w:szCs w:val="32"/>
          <w:lang w:val="en-US" w:eastAsia="zh-CN"/>
        </w:rPr>
      </w:pPr>
    </w:p>
    <w:tbl>
      <w:tblPr>
        <w:tblStyle w:val="12"/>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40"/>
        <w:gridCol w:w="5838"/>
      </w:tblGrid>
      <w:tr w14:paraId="7FDC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29" w:type="dxa"/>
            <w:vAlign w:val="center"/>
          </w:tcPr>
          <w:p w14:paraId="5D84B2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条款内容</w:t>
            </w:r>
          </w:p>
        </w:tc>
        <w:tc>
          <w:tcPr>
            <w:tcW w:w="7978" w:type="dxa"/>
            <w:gridSpan w:val="2"/>
            <w:vAlign w:val="center"/>
          </w:tcPr>
          <w:p w14:paraId="78DB0A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编列内容</w:t>
            </w:r>
          </w:p>
        </w:tc>
      </w:tr>
      <w:tr w14:paraId="63DE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429" w:type="dxa"/>
            <w:vAlign w:val="center"/>
          </w:tcPr>
          <w:p w14:paraId="11975D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分值构</w:t>
            </w:r>
            <w:r>
              <w:rPr>
                <w:rFonts w:hint="eastAsia" w:ascii="宋体" w:hAnsi="宋体" w:eastAsia="宋体" w:cs="宋体"/>
                <w:i w:val="0"/>
                <w:iCs w:val="0"/>
                <w:caps w:val="0"/>
                <w:color w:val="2B2B2B"/>
                <w:spacing w:val="0"/>
                <w:sz w:val="24"/>
                <w:szCs w:val="24"/>
                <w:lang w:val="en-US" w:eastAsia="zh-CN"/>
              </w:rPr>
              <w:t>成</w:t>
            </w:r>
            <w:r>
              <w:rPr>
                <w:rFonts w:hint="eastAsia" w:ascii="宋体" w:hAnsi="宋体" w:eastAsia="宋体" w:cs="宋体"/>
                <w:i w:val="0"/>
                <w:iCs w:val="0"/>
                <w:caps w:val="0"/>
                <w:color w:val="2B2B2B"/>
                <w:spacing w:val="0"/>
                <w:sz w:val="24"/>
                <w:szCs w:val="24"/>
              </w:rPr>
              <w:t>(总分100分)</w:t>
            </w:r>
          </w:p>
        </w:tc>
        <w:tc>
          <w:tcPr>
            <w:tcW w:w="7978" w:type="dxa"/>
            <w:gridSpan w:val="2"/>
            <w:vAlign w:val="center"/>
          </w:tcPr>
          <w:p w14:paraId="24FAEA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方案总体评价：</w:t>
            </w:r>
            <w:r>
              <w:rPr>
                <w:rFonts w:hint="eastAsia" w:ascii="宋体" w:hAnsi="宋体" w:eastAsia="宋体" w:cs="宋体"/>
                <w:i w:val="0"/>
                <w:iCs w:val="0"/>
                <w:caps w:val="0"/>
                <w:color w:val="2B2B2B"/>
                <w:spacing w:val="0"/>
                <w:sz w:val="24"/>
                <w:szCs w:val="24"/>
                <w:u w:val="single"/>
                <w:lang w:val="en-US" w:eastAsia="zh-CN"/>
              </w:rPr>
              <w:t>60</w:t>
            </w:r>
            <w:r>
              <w:rPr>
                <w:rFonts w:hint="eastAsia" w:ascii="宋体" w:hAnsi="宋体" w:eastAsia="宋体" w:cs="宋体"/>
                <w:i w:val="0"/>
                <w:iCs w:val="0"/>
                <w:caps w:val="0"/>
                <w:color w:val="2B2B2B"/>
                <w:spacing w:val="0"/>
                <w:sz w:val="24"/>
                <w:szCs w:val="24"/>
              </w:rPr>
              <w:t>分</w:t>
            </w:r>
          </w:p>
          <w:p w14:paraId="05DC66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报价得分：</w:t>
            </w:r>
            <w:r>
              <w:rPr>
                <w:rFonts w:hint="eastAsia" w:ascii="宋体" w:hAnsi="宋体" w:eastAsia="宋体" w:cs="宋体"/>
                <w:i w:val="0"/>
                <w:iCs w:val="0"/>
                <w:caps w:val="0"/>
                <w:color w:val="2B2B2B"/>
                <w:spacing w:val="0"/>
                <w:sz w:val="24"/>
                <w:szCs w:val="24"/>
                <w:u w:val="single"/>
                <w:lang w:val="en-US" w:eastAsia="zh-CN"/>
              </w:rPr>
              <w:t>40</w:t>
            </w:r>
            <w:r>
              <w:rPr>
                <w:rFonts w:hint="eastAsia" w:ascii="宋体" w:hAnsi="宋体" w:eastAsia="宋体" w:cs="宋体"/>
                <w:i w:val="0"/>
                <w:iCs w:val="0"/>
                <w:caps w:val="0"/>
                <w:color w:val="2B2B2B"/>
                <w:spacing w:val="0"/>
                <w:sz w:val="24"/>
                <w:szCs w:val="24"/>
              </w:rPr>
              <w:t>分</w:t>
            </w:r>
          </w:p>
        </w:tc>
      </w:tr>
      <w:tr w14:paraId="26C0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1429" w:type="dxa"/>
            <w:vAlign w:val="center"/>
          </w:tcPr>
          <w:p w14:paraId="1BB9A6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评</w:t>
            </w:r>
            <w:r>
              <w:rPr>
                <w:rFonts w:hint="eastAsia" w:ascii="宋体" w:hAnsi="宋体" w:eastAsia="宋体" w:cs="宋体"/>
                <w:i w:val="0"/>
                <w:iCs w:val="0"/>
                <w:caps w:val="0"/>
                <w:color w:val="2B2B2B"/>
                <w:spacing w:val="0"/>
                <w:sz w:val="24"/>
                <w:szCs w:val="24"/>
                <w:lang w:val="en-US" w:eastAsia="zh-CN"/>
              </w:rPr>
              <w:t>选</w:t>
            </w:r>
            <w:r>
              <w:rPr>
                <w:rFonts w:hint="eastAsia" w:ascii="宋体" w:hAnsi="宋体" w:eastAsia="宋体" w:cs="宋体"/>
                <w:i w:val="0"/>
                <w:iCs w:val="0"/>
                <w:caps w:val="0"/>
                <w:color w:val="2B2B2B"/>
                <w:spacing w:val="0"/>
                <w:sz w:val="24"/>
                <w:szCs w:val="24"/>
              </w:rPr>
              <w:t>基准价计算方法</w:t>
            </w:r>
          </w:p>
        </w:tc>
        <w:tc>
          <w:tcPr>
            <w:tcW w:w="7978" w:type="dxa"/>
            <w:gridSpan w:val="2"/>
            <w:vAlign w:val="center"/>
          </w:tcPr>
          <w:p w14:paraId="788950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当有效报价＞10、≤20家时，去掉两个最高和两个最低报价后取所有有效报价的平均值做为评标基准价；当有效报价＞5家、≤10家，去掉一个最高和一个最低后取所有有效报价的平均值做为评标基准价；</w:t>
            </w:r>
          </w:p>
          <w:p w14:paraId="776508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当有效报价≤5家时，取所有有效报价的平均值做为评标基准价。</w:t>
            </w:r>
          </w:p>
          <w:p w14:paraId="435163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（有效报价为通过形式和响应性评审及资格审查的</w:t>
            </w: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文件的报价）</w:t>
            </w:r>
          </w:p>
        </w:tc>
      </w:tr>
      <w:tr w14:paraId="6F9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29" w:type="dxa"/>
            <w:vAlign w:val="center"/>
          </w:tcPr>
          <w:p w14:paraId="680100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评分因素</w:t>
            </w:r>
          </w:p>
        </w:tc>
        <w:tc>
          <w:tcPr>
            <w:tcW w:w="7978" w:type="dxa"/>
            <w:gridSpan w:val="2"/>
            <w:vAlign w:val="center"/>
          </w:tcPr>
          <w:p w14:paraId="18F127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4"/>
                <w:rFonts w:hint="eastAsia" w:ascii="宋体" w:hAnsi="宋体" w:eastAsia="宋体" w:cs="宋体"/>
                <w:b/>
                <w:bCs/>
                <w:i w:val="0"/>
                <w:iCs w:val="0"/>
                <w:caps w:val="0"/>
                <w:color w:val="2B2B2B"/>
                <w:spacing w:val="0"/>
                <w:sz w:val="24"/>
                <w:szCs w:val="24"/>
              </w:rPr>
              <w:t>评分标准</w:t>
            </w:r>
          </w:p>
        </w:tc>
      </w:tr>
      <w:tr w14:paraId="6E2D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429" w:type="dxa"/>
            <w:vMerge w:val="restart"/>
            <w:vAlign w:val="center"/>
          </w:tcPr>
          <w:p w14:paraId="44954E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shd w:val="clear" w:fill="FFFFFF"/>
                <w:lang w:val="en-US" w:eastAsia="zh-CN"/>
              </w:rPr>
              <w:t>工作</w:t>
            </w:r>
            <w:r>
              <w:rPr>
                <w:rFonts w:hint="eastAsia" w:ascii="宋体" w:hAnsi="宋体" w:eastAsia="宋体" w:cs="宋体"/>
                <w:i w:val="0"/>
                <w:iCs w:val="0"/>
                <w:caps w:val="0"/>
                <w:color w:val="2B2B2B"/>
                <w:spacing w:val="0"/>
                <w:sz w:val="24"/>
                <w:szCs w:val="24"/>
                <w:shd w:val="clear" w:fill="FFFFFF"/>
              </w:rPr>
              <w:t>方案总体评价（</w:t>
            </w:r>
            <w:r>
              <w:rPr>
                <w:rFonts w:hint="eastAsia" w:ascii="宋体" w:hAnsi="宋体" w:eastAsia="宋体" w:cs="宋体"/>
                <w:i w:val="0"/>
                <w:iCs w:val="0"/>
                <w:caps w:val="0"/>
                <w:color w:val="2B2B2B"/>
                <w:spacing w:val="0"/>
                <w:sz w:val="24"/>
                <w:szCs w:val="24"/>
                <w:shd w:val="clear" w:fill="FFFFFF"/>
                <w:lang w:val="en-US" w:eastAsia="zh-CN"/>
              </w:rPr>
              <w:t>60</w:t>
            </w:r>
            <w:r>
              <w:rPr>
                <w:rFonts w:hint="eastAsia" w:ascii="宋体" w:hAnsi="宋体" w:eastAsia="宋体" w:cs="宋体"/>
                <w:i w:val="0"/>
                <w:iCs w:val="0"/>
                <w:caps w:val="0"/>
                <w:color w:val="2B2B2B"/>
                <w:spacing w:val="0"/>
                <w:sz w:val="24"/>
                <w:szCs w:val="24"/>
                <w:shd w:val="clear" w:fill="FFFFFF"/>
              </w:rPr>
              <w:t>分）</w:t>
            </w:r>
          </w:p>
        </w:tc>
        <w:tc>
          <w:tcPr>
            <w:tcW w:w="2140" w:type="dxa"/>
            <w:vAlign w:val="center"/>
          </w:tcPr>
          <w:p w14:paraId="7F25A3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w:t>
            </w:r>
          </w:p>
          <w:p w14:paraId="50D997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及人员配备</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67B38E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1、</w:t>
            </w: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方案依据:方案详细、完整、全面，服务目标明确，工作流程清晰、规范。评分标准:优秀1</w:t>
            </w:r>
            <w:r>
              <w:rPr>
                <w:rFonts w:hint="eastAsia" w:ascii="宋体" w:hAnsi="宋体" w:eastAsia="宋体" w:cs="宋体"/>
                <w:i w:val="0"/>
                <w:iCs w:val="0"/>
                <w:caps w:val="0"/>
                <w:color w:val="2B2B2B"/>
                <w:spacing w:val="0"/>
                <w:sz w:val="24"/>
                <w:szCs w:val="24"/>
                <w:lang w:val="en-US" w:eastAsia="zh-CN"/>
              </w:rPr>
              <w:t>6</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20</w:t>
            </w:r>
            <w:r>
              <w:rPr>
                <w:rFonts w:hint="eastAsia" w:ascii="宋体" w:hAnsi="宋体" w:eastAsia="宋体" w:cs="宋体"/>
                <w:i w:val="0"/>
                <w:iCs w:val="0"/>
                <w:caps w:val="0"/>
                <w:color w:val="2B2B2B"/>
                <w:spacing w:val="0"/>
                <w:sz w:val="24"/>
                <w:szCs w:val="24"/>
              </w:rPr>
              <w:t>;一般</w:t>
            </w:r>
            <w:r>
              <w:rPr>
                <w:rFonts w:hint="eastAsia" w:ascii="宋体" w:hAnsi="宋体" w:eastAsia="宋体" w:cs="宋体"/>
                <w:i w:val="0"/>
                <w:iCs w:val="0"/>
                <w:caps w:val="0"/>
                <w:color w:val="2B2B2B"/>
                <w:spacing w:val="0"/>
                <w:sz w:val="24"/>
                <w:szCs w:val="24"/>
                <w:lang w:val="en-US" w:eastAsia="zh-CN"/>
              </w:rPr>
              <w:t>11</w:t>
            </w:r>
            <w:r>
              <w:rPr>
                <w:rFonts w:hint="eastAsia" w:ascii="宋体" w:hAnsi="宋体" w:eastAsia="宋体" w:cs="宋体"/>
                <w:i w:val="0"/>
                <w:iCs w:val="0"/>
                <w:caps w:val="0"/>
                <w:color w:val="2B2B2B"/>
                <w:spacing w:val="0"/>
                <w:sz w:val="24"/>
                <w:szCs w:val="24"/>
              </w:rPr>
              <w:t>-1</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 xml:space="preserve">;较差 </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10</w:t>
            </w:r>
            <w:r>
              <w:rPr>
                <w:rFonts w:hint="eastAsia" w:ascii="宋体" w:hAnsi="宋体" w:eastAsia="宋体" w:cs="宋体"/>
                <w:i w:val="0"/>
                <w:iCs w:val="0"/>
                <w:caps w:val="0"/>
                <w:color w:val="2B2B2B"/>
                <w:spacing w:val="0"/>
                <w:sz w:val="24"/>
                <w:szCs w:val="24"/>
              </w:rPr>
              <w:t>。</w:t>
            </w:r>
          </w:p>
          <w:p w14:paraId="2200E8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2、人员配备依据:根据参选单位对本项目配备人员的人数、资历、资质。评分标准:合理8-10;基本合理5-7;不合理 0-4。</w:t>
            </w:r>
          </w:p>
        </w:tc>
      </w:tr>
      <w:tr w14:paraId="770E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429" w:type="dxa"/>
            <w:vMerge w:val="continue"/>
            <w:vAlign w:val="center"/>
          </w:tcPr>
          <w:p w14:paraId="491239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p>
        </w:tc>
        <w:tc>
          <w:tcPr>
            <w:tcW w:w="2140" w:type="dxa"/>
            <w:vAlign w:val="center"/>
          </w:tcPr>
          <w:p w14:paraId="4612D6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类似业绩</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53D240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p>
          <w:p w14:paraId="144228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提供同类业绩每个得</w:t>
            </w:r>
            <w:r>
              <w:rPr>
                <w:rFonts w:hint="eastAsia" w:ascii="宋体" w:hAnsi="宋体" w:eastAsia="宋体" w:cs="宋体"/>
                <w:i w:val="0"/>
                <w:iCs w:val="0"/>
                <w:caps w:val="0"/>
                <w:color w:val="2B2B2B"/>
                <w:spacing w:val="0"/>
                <w:sz w:val="24"/>
                <w:szCs w:val="24"/>
                <w:lang w:val="en-US" w:eastAsia="zh-CN"/>
              </w:rPr>
              <w:t>6</w:t>
            </w:r>
            <w:r>
              <w:rPr>
                <w:rFonts w:hint="eastAsia" w:ascii="宋体" w:hAnsi="宋体" w:eastAsia="宋体" w:cs="宋体"/>
                <w:i w:val="0"/>
                <w:iCs w:val="0"/>
                <w:caps w:val="0"/>
                <w:color w:val="2B2B2B"/>
                <w:spacing w:val="0"/>
                <w:sz w:val="24"/>
                <w:szCs w:val="24"/>
              </w:rPr>
              <w:t>分。</w:t>
            </w:r>
          </w:p>
          <w:p w14:paraId="1DF57D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p>
        </w:tc>
      </w:tr>
      <w:tr w14:paraId="3AA1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429" w:type="dxa"/>
            <w:vAlign w:val="center"/>
          </w:tcPr>
          <w:p w14:paraId="6F7631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报价</w:t>
            </w:r>
          </w:p>
          <w:p w14:paraId="4C30BD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2140" w:type="dxa"/>
            <w:vAlign w:val="center"/>
          </w:tcPr>
          <w:p w14:paraId="1260AA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报价（</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5838" w:type="dxa"/>
            <w:vAlign w:val="center"/>
          </w:tcPr>
          <w:p w14:paraId="0B6801C4">
            <w:pPr>
              <w:snapToGrid w:val="0"/>
              <w:spacing w:line="240" w:lineRule="auto"/>
              <w:ind w:firstLine="480" w:firstLineChars="200"/>
              <w:rPr>
                <w:rFonts w:hint="eastAsia" w:ascii="宋体" w:hAnsi="宋体" w:eastAsia="宋体" w:cs="宋体"/>
                <w:i w:val="0"/>
                <w:iCs w:val="0"/>
                <w:caps w:val="0"/>
                <w:color w:val="2B2B2B"/>
                <w:spacing w:val="0"/>
                <w:kern w:val="0"/>
                <w:sz w:val="24"/>
                <w:szCs w:val="24"/>
                <w:lang w:val="en-US" w:eastAsia="zh-CN" w:bidi="ar"/>
              </w:rPr>
            </w:pPr>
            <w:r>
              <w:rPr>
                <w:rFonts w:hint="eastAsia" w:ascii="宋体" w:hAnsi="宋体" w:eastAsia="宋体" w:cs="宋体"/>
                <w:i w:val="0"/>
                <w:iCs w:val="0"/>
                <w:caps w:val="0"/>
                <w:color w:val="2B2B2B"/>
                <w:spacing w:val="0"/>
                <w:kern w:val="0"/>
                <w:sz w:val="24"/>
                <w:szCs w:val="24"/>
                <w:lang w:val="en-US" w:eastAsia="zh-CN" w:bidi="ar"/>
              </w:rPr>
              <w:t>服务商的价格分按照下列公式计算：投标报价得分=40-</w:t>
            </w:r>
            <w:r>
              <w:rPr>
                <w:rFonts w:hint="eastAsia" w:ascii="微软雅黑" w:hAnsi="微软雅黑" w:eastAsia="微软雅黑" w:cs="微软雅黑"/>
                <w:i w:val="0"/>
                <w:iCs w:val="0"/>
                <w:caps w:val="0"/>
                <w:color w:val="2B2B2B"/>
                <w:spacing w:val="0"/>
                <w:kern w:val="0"/>
                <w:sz w:val="24"/>
                <w:szCs w:val="24"/>
                <w:lang w:val="en-US" w:eastAsia="zh-CN" w:bidi="ar"/>
              </w:rPr>
              <w:t>|</w:t>
            </w:r>
            <w:r>
              <w:rPr>
                <w:rFonts w:hint="eastAsia" w:ascii="宋体" w:hAnsi="宋体" w:eastAsia="宋体" w:cs="宋体"/>
                <w:i w:val="0"/>
                <w:iCs w:val="0"/>
                <w:caps w:val="0"/>
                <w:color w:val="2B2B2B"/>
                <w:spacing w:val="0"/>
                <w:kern w:val="0"/>
                <w:sz w:val="24"/>
                <w:szCs w:val="24"/>
                <w:lang w:val="en-US" w:eastAsia="zh-CN" w:bidi="ar"/>
              </w:rPr>
              <w:t>（投标</w:t>
            </w:r>
            <w:bookmarkStart w:id="0" w:name="_GoBack"/>
            <w:bookmarkEnd w:id="0"/>
            <w:r>
              <w:rPr>
                <w:rFonts w:hint="eastAsia" w:ascii="宋体" w:hAnsi="宋体" w:eastAsia="宋体" w:cs="宋体"/>
                <w:i w:val="0"/>
                <w:iCs w:val="0"/>
                <w:caps w:val="0"/>
                <w:color w:val="2B2B2B"/>
                <w:spacing w:val="0"/>
                <w:kern w:val="0"/>
                <w:sz w:val="24"/>
                <w:szCs w:val="24"/>
                <w:lang w:val="en-US" w:eastAsia="zh-CN" w:bidi="ar"/>
              </w:rPr>
              <w:t>报价-评标基准价/评标基准价）×100</w:t>
            </w:r>
            <w:r>
              <w:rPr>
                <w:rFonts w:hint="eastAsia" w:ascii="微软雅黑" w:hAnsi="微软雅黑" w:eastAsia="微软雅黑" w:cs="微软雅黑"/>
                <w:i w:val="0"/>
                <w:iCs w:val="0"/>
                <w:caps w:val="0"/>
                <w:color w:val="2B2B2B"/>
                <w:spacing w:val="0"/>
                <w:kern w:val="0"/>
                <w:sz w:val="24"/>
                <w:szCs w:val="24"/>
                <w:lang w:val="en-US" w:eastAsia="zh-CN" w:bidi="ar"/>
              </w:rPr>
              <w:t>|</w:t>
            </w:r>
            <w:r>
              <w:rPr>
                <w:rFonts w:hint="eastAsia" w:ascii="宋体" w:hAnsi="宋体" w:eastAsia="宋体" w:cs="宋体"/>
                <w:i w:val="0"/>
                <w:iCs w:val="0"/>
                <w:caps w:val="0"/>
                <w:color w:val="2B2B2B"/>
                <w:spacing w:val="0"/>
                <w:kern w:val="0"/>
                <w:sz w:val="24"/>
                <w:szCs w:val="24"/>
                <w:lang w:val="en-US" w:eastAsia="zh-CN" w:bidi="ar"/>
              </w:rPr>
              <w:t>。</w:t>
            </w:r>
          </w:p>
          <w:p w14:paraId="213F22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2" w:firstLineChars="20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p>
        </w:tc>
      </w:tr>
    </w:tbl>
    <w:p w14:paraId="23EC07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r>
        <w:rPr>
          <w:rFonts w:hint="eastAsia" w:ascii="宋体" w:hAnsi="宋体" w:eastAsia="宋体" w:cs="宋体"/>
          <w:i w:val="0"/>
          <w:iCs w:val="0"/>
          <w:caps w:val="0"/>
          <w:color w:val="2B2B2B"/>
          <w:spacing w:val="0"/>
          <w:sz w:val="24"/>
          <w:szCs w:val="24"/>
          <w:highlight w:val="none"/>
          <w:lang w:val="en-US" w:eastAsia="zh-CN"/>
        </w:rPr>
        <w:t>综合评分法得分最高者中选，如综合评分相同时，报价低者中选。</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MjgxMjMyNmFhMDI1ZTYwM2RjMDQxZTNkZGIwNTIifQ=="/>
  </w:docVars>
  <w:rsids>
    <w:rsidRoot w:val="00000000"/>
    <w:rsid w:val="012B3476"/>
    <w:rsid w:val="04E37FF6"/>
    <w:rsid w:val="0A5E1814"/>
    <w:rsid w:val="14A53BA2"/>
    <w:rsid w:val="1779212E"/>
    <w:rsid w:val="19BA050D"/>
    <w:rsid w:val="1D304BE4"/>
    <w:rsid w:val="1EE05B4F"/>
    <w:rsid w:val="1F2C5185"/>
    <w:rsid w:val="20F45451"/>
    <w:rsid w:val="230D6F81"/>
    <w:rsid w:val="26E66850"/>
    <w:rsid w:val="27721DCC"/>
    <w:rsid w:val="29871AEB"/>
    <w:rsid w:val="2A8C066D"/>
    <w:rsid w:val="2AB253C7"/>
    <w:rsid w:val="2BDE3D91"/>
    <w:rsid w:val="2EBC18D7"/>
    <w:rsid w:val="2F2D046C"/>
    <w:rsid w:val="2F7215C9"/>
    <w:rsid w:val="2FC242FE"/>
    <w:rsid w:val="315F03B2"/>
    <w:rsid w:val="32CF5408"/>
    <w:rsid w:val="33F94067"/>
    <w:rsid w:val="34D76ADF"/>
    <w:rsid w:val="36344E82"/>
    <w:rsid w:val="36F30530"/>
    <w:rsid w:val="37D01583"/>
    <w:rsid w:val="38B00A63"/>
    <w:rsid w:val="46916636"/>
    <w:rsid w:val="4B2E50F8"/>
    <w:rsid w:val="55CD7E0B"/>
    <w:rsid w:val="56112F2F"/>
    <w:rsid w:val="5F292E8D"/>
    <w:rsid w:val="665C5C0C"/>
    <w:rsid w:val="674638D0"/>
    <w:rsid w:val="68A92CDA"/>
    <w:rsid w:val="6D693A75"/>
    <w:rsid w:val="730F42F0"/>
    <w:rsid w:val="74DC7D7A"/>
    <w:rsid w:val="754B25EE"/>
    <w:rsid w:val="7AB12572"/>
    <w:rsid w:val="7F41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1"/>
    <w:pPr>
      <w:ind w:left="240"/>
    </w:pPr>
    <w:rPr>
      <w:sz w:val="21"/>
      <w:szCs w:val="21"/>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6">
    <w:name w:val="Normal Indent"/>
    <w:basedOn w:val="1"/>
    <w:next w:val="7"/>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Body Text Indent"/>
    <w:basedOn w:val="1"/>
    <w:next w:val="6"/>
    <w:qFormat/>
    <w:uiPriority w:val="0"/>
    <w:pPr>
      <w:widowControl w:val="0"/>
      <w:autoSpaceDE/>
      <w:autoSpaceDN/>
      <w:spacing w:before="0" w:after="120" w:line="240" w:lineRule="auto"/>
      <w:ind w:left="420" w:firstLine="0"/>
      <w:jc w:val="both"/>
    </w:pPr>
    <w:rPr>
      <w:rFonts w:ascii="Times New Roman" w:eastAsia="宋体"/>
      <w:sz w:val="21"/>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8"/>
    <w:next w:val="1"/>
    <w:qFormat/>
    <w:uiPriority w:val="0"/>
    <w:pPr>
      <w:spacing w:after="120" w:line="440" w:lineRule="exact"/>
      <w:ind w:left="420" w:leftChars="200" w:firstLine="210" w:firstLineChars="20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561</Words>
  <Characters>602</Characters>
  <Lines>0</Lines>
  <Paragraphs>0</Paragraphs>
  <TotalTime>18</TotalTime>
  <ScaleCrop>false</ScaleCrop>
  <LinksUpToDate>false</LinksUpToDate>
  <CharactersWithSpaces>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灰飞湮灭</cp:lastModifiedBy>
  <dcterms:modified xsi:type="dcterms:W3CDTF">2026-03-16T07:11:54Z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97641756FCE84BCAAB704F521997B641_13</vt:lpwstr>
  </property>
  <property fmtid="{D5CDD505-2E9C-101B-9397-08002B2CF9AE}" pid="4" name="KSOTemplateDocerSaveRecord">
    <vt:lpwstr>eyJoZGlkIjoiNmIxZmZhY2M5Yzk3ZjgyOTEwMzViYjJhYWIwODM3Y2MiLCJ1c2VySWQiOiIyNjk0Mjg1NTMifQ==</vt:lpwstr>
  </property>
</Properties>
</file>