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90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/>
          <w:bCs/>
          <w:kern w:val="44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24"/>
          <w:szCs w:val="24"/>
          <w:highlight w:val="none"/>
          <w:lang w:val="en-US" w:eastAsia="zh-CN" w:bidi="ar"/>
        </w:rPr>
        <w:t>附件1：</w:t>
      </w:r>
    </w:p>
    <w:p w14:paraId="462F0E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B2B2B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B2B2B"/>
          <w:spacing w:val="0"/>
          <w:sz w:val="27"/>
          <w:szCs w:val="27"/>
          <w:shd w:val="clear" w:fill="FFFFFF"/>
          <w:lang w:val="en-US" w:eastAsia="zh-CN"/>
        </w:rPr>
        <w:t>计费方法</w:t>
      </w:r>
    </w:p>
    <w:p w14:paraId="03DB9C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（1）审核费用=（基本审核费用+效益审核费用）×（中标费率）。</w:t>
      </w:r>
    </w:p>
    <w:p w14:paraId="71B515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（2）基本审核费用=∑本项目各委托金额之和（分段金额）×基本审核费费率×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专业调整系数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×阶段系数，具体解释见表一、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表二、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项目阶段系数解释。</w:t>
      </w:r>
    </w:p>
    <w:p w14:paraId="096C70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表一：分段累进审核费费率</w:t>
      </w:r>
    </w:p>
    <w:tbl>
      <w:tblPr>
        <w:tblStyle w:val="7"/>
        <w:tblW w:w="0" w:type="auto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182"/>
        <w:gridCol w:w="1248"/>
        <w:gridCol w:w="1215"/>
        <w:gridCol w:w="1215"/>
        <w:gridCol w:w="1215"/>
        <w:gridCol w:w="1215"/>
      </w:tblGrid>
      <w:tr w14:paraId="22AA84F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5" w:type="dxa"/>
            <w:vMerge w:val="restart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BD72A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咨询项目名称</w:t>
            </w:r>
          </w:p>
        </w:tc>
        <w:tc>
          <w:tcPr>
            <w:tcW w:w="1182" w:type="dxa"/>
            <w:vMerge w:val="restart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2F997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收费基数（X）</w:t>
            </w:r>
          </w:p>
        </w:tc>
        <w:tc>
          <w:tcPr>
            <w:tcW w:w="6108" w:type="dxa"/>
            <w:gridSpan w:val="5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B814C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基本审核费费率划分标准</w:t>
            </w:r>
          </w:p>
        </w:tc>
      </w:tr>
      <w:tr w14:paraId="5DFB95D0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5" w:type="dxa"/>
            <w:vMerge w:val="continue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BC1D12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F1C5ED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E3FD9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X≤3000万元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408D8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3000＜X≤5000万元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6908B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5000＜X≤1亿元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8E03D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1亿元＜X≤50亿元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2704C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X＞50亿元</w:t>
            </w:r>
          </w:p>
        </w:tc>
      </w:tr>
      <w:tr w14:paraId="3A32FA8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30F29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项目的审核</w:t>
            </w:r>
          </w:p>
        </w:tc>
        <w:tc>
          <w:tcPr>
            <w:tcW w:w="1182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A65CB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color w:val="2B2B2B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实际审核的建安投资</w:t>
            </w:r>
          </w:p>
        </w:tc>
        <w:tc>
          <w:tcPr>
            <w:tcW w:w="12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E607C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3.0‰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B10BC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2.0‰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96EA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1.5‰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024E1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1.0‰</w:t>
            </w:r>
          </w:p>
        </w:tc>
        <w:tc>
          <w:tcPr>
            <w:tcW w:w="12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817C3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0.5‰</w:t>
            </w:r>
          </w:p>
        </w:tc>
      </w:tr>
    </w:tbl>
    <w:p w14:paraId="52D077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表二：专业调整系数</w:t>
      </w:r>
    </w:p>
    <w:tbl>
      <w:tblPr>
        <w:tblStyle w:val="7"/>
        <w:tblW w:w="0" w:type="auto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5823"/>
        <w:gridCol w:w="1219"/>
      </w:tblGrid>
      <w:tr w14:paraId="3EE0965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1E3DD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专业类别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53EC9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包含专业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D22D7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专业调整系数</w:t>
            </w:r>
          </w:p>
        </w:tc>
      </w:tr>
      <w:tr w14:paraId="2120975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53221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一类工程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0C4EA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机场场道工程、桥梁工程、隧道工程、公路、道路工程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0419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0.7</w:t>
            </w:r>
          </w:p>
        </w:tc>
      </w:tr>
      <w:tr w14:paraId="4DDBEEF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E854E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二类工程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64AE9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市政公用工程、城市轨道工程、港口工程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2B0AB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0.8</w:t>
            </w:r>
          </w:p>
        </w:tc>
      </w:tr>
      <w:tr w14:paraId="66106077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55BE4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三类工程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6A126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水利工程、绿化工程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E0CB7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0.9</w:t>
            </w:r>
          </w:p>
        </w:tc>
      </w:tr>
      <w:tr w14:paraId="63132B63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26A45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四类工程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F5E5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建筑工程及其他工程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、信息化项目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(软件方面为主)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6A768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1.0</w:t>
            </w:r>
          </w:p>
        </w:tc>
      </w:tr>
      <w:tr w14:paraId="19EEB54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239FC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五类工程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31BD0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园林工程、井巷矿山工程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45D8F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1.1</w:t>
            </w:r>
          </w:p>
        </w:tc>
      </w:tr>
      <w:tr w14:paraId="3720EAA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FA5A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六类工程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1DBB6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Theme="minorEastAsia" w:hAnsiTheme="minorEastAsia" w:eastAsiaTheme="minorEastAsia" w:cstheme="minorEastAsia"/>
                <w:color w:val="2B2B2B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装饰装修工程、仿古建筑工程、安装工程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信息化项目（安装为主）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0F693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1.2</w:t>
            </w:r>
          </w:p>
        </w:tc>
      </w:tr>
      <w:tr w14:paraId="15A0BF14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CEBF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常规费用类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850E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监理、勘查、财务、信息化项目 (设备采购为主) 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D1A3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 w14:paraId="2C98893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D6C0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其他费用类</w:t>
            </w:r>
          </w:p>
        </w:tc>
        <w:tc>
          <w:tcPr>
            <w:tcW w:w="5823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A11B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其他费用 </w:t>
            </w:r>
          </w:p>
        </w:tc>
        <w:tc>
          <w:tcPr>
            <w:tcW w:w="1219" w:type="dxa"/>
            <w:tcBorders>
              <w:top w:val="single" w:color="B1B1B1" w:sz="6" w:space="0"/>
              <w:left w:val="single" w:color="B1B1B1" w:sz="6" w:space="0"/>
              <w:bottom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85FB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1C590F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90" w:type="dxa"/>
            <w:gridSpan w:val="3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7A2F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注: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kern w:val="0"/>
                <w:sz w:val="24"/>
                <w:szCs w:val="24"/>
                <w:lang w:val="en-US" w:eastAsia="zh-CN" w:bidi="ar"/>
              </w:rPr>
              <w:t>同一项目包含多专业的,以主要专业作为专业系数判定依据,由项目审核组长在填写中介情况确认表时确定</w:t>
            </w:r>
          </w:p>
        </w:tc>
      </w:tr>
    </w:tbl>
    <w:p w14:paraId="125BC0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项目阶段系数解释：参照财政部（财建【2001】512号）文件规定，基本审核费用按建设项目的预算（标底）、竣工决（结）算全过程核定，对于不同阶段委托不同中介机构或只对某一单项委托审核的，阶段系数为预算（标底）按照40%、决（结）算按照60%确定。</w:t>
      </w:r>
    </w:p>
    <w:p w14:paraId="16970EBB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（3）效益审核费用=∑审减部分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的建安投资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（分段金额）×效益审核费费率×阶段系数，效益审核费用费率见表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：</w:t>
      </w:r>
    </w:p>
    <w:p w14:paraId="369EC4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：</w:t>
      </w:r>
    </w:p>
    <w:tbl>
      <w:tblPr>
        <w:tblStyle w:val="7"/>
        <w:tblW w:w="0" w:type="auto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4245"/>
        <w:gridCol w:w="2730"/>
      </w:tblGrid>
      <w:tr w14:paraId="2C6042B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4D08E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24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2EB8D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审减额（E）=审减额÷送审额</w:t>
            </w:r>
          </w:p>
        </w:tc>
        <w:tc>
          <w:tcPr>
            <w:tcW w:w="2730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E44A8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效益审核费费率（按照审减额的）</w:t>
            </w:r>
          </w:p>
        </w:tc>
      </w:tr>
      <w:tr w14:paraId="13B93239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11D6B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1</w:t>
            </w:r>
          </w:p>
        </w:tc>
        <w:tc>
          <w:tcPr>
            <w:tcW w:w="424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27315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E≤5%</w:t>
            </w:r>
          </w:p>
        </w:tc>
        <w:tc>
          <w:tcPr>
            <w:tcW w:w="2730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F2BEA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3%</w:t>
            </w:r>
          </w:p>
        </w:tc>
      </w:tr>
      <w:tr w14:paraId="7214BE28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90894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2</w:t>
            </w:r>
          </w:p>
        </w:tc>
        <w:tc>
          <w:tcPr>
            <w:tcW w:w="424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9619F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5%＜E≤10%</w:t>
            </w:r>
          </w:p>
        </w:tc>
        <w:tc>
          <w:tcPr>
            <w:tcW w:w="2730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BC852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2%</w:t>
            </w:r>
          </w:p>
        </w:tc>
      </w:tr>
      <w:tr w14:paraId="7335437A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0206E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3</w:t>
            </w:r>
          </w:p>
        </w:tc>
        <w:tc>
          <w:tcPr>
            <w:tcW w:w="4245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6B610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E＞10%</w:t>
            </w:r>
          </w:p>
        </w:tc>
        <w:tc>
          <w:tcPr>
            <w:tcW w:w="2730" w:type="dxa"/>
            <w:tcBorders>
              <w:top w:val="single" w:color="B1B1B1" w:sz="6" w:space="0"/>
              <w:left w:val="single" w:color="B1B1B1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6730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2B2B2B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%</w:t>
            </w:r>
          </w:p>
        </w:tc>
      </w:tr>
    </w:tbl>
    <w:p w14:paraId="2B026E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以下审减金额不列入效益审减费：</w:t>
      </w:r>
    </w:p>
    <w:p w14:paraId="191F2F2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因全部或者部分项目取消产生的审减额；</w:t>
      </w:r>
      <w:bookmarkStart w:id="0" w:name="_GoBack"/>
      <w:bookmarkEnd w:id="0"/>
    </w:p>
    <w:p w14:paraId="4E6B4B68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因笔误、经核实虚报产生的审减额；</w:t>
      </w:r>
    </w:p>
    <w:p w14:paraId="4918EAA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因造价信息调整等非专业技术审核造成的审减额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;</w:t>
      </w:r>
    </w:p>
    <w:p w14:paraId="2F4DCBE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  <w:t>其他不是由于中介机构审核形成的审减额。</w:t>
      </w:r>
    </w:p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021FD"/>
    <w:multiLevelType w:val="singleLevel"/>
    <w:tmpl w:val="CE8021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MTZlZWU1ZDA0YzBlNDk5YTZiMmJjY2UzZWQ1YTgifQ=="/>
  </w:docVars>
  <w:rsids>
    <w:rsidRoot w:val="00000000"/>
    <w:rsid w:val="0B4248BC"/>
    <w:rsid w:val="12FE357C"/>
    <w:rsid w:val="2590215A"/>
    <w:rsid w:val="2AAA7D41"/>
    <w:rsid w:val="2E857701"/>
    <w:rsid w:val="4DD67828"/>
    <w:rsid w:val="4E62734D"/>
    <w:rsid w:val="5CE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3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next w:val="2"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821</Characters>
  <Lines>0</Lines>
  <Paragraphs>0</Paragraphs>
  <TotalTime>2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2023-10-25T08:05:00Z</dcterms:created>
  <dc:creator>CMGE-PC</dc:creator>
  <cp:lastModifiedBy>狄鸿雁</cp:lastModifiedBy>
  <dcterms:modified xsi:type="dcterms:W3CDTF">2026-03-23T02:36:41Z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206B2537AE5E4192940D29B9D9A6A150_12</vt:lpwstr>
  </property>
  <property fmtid="{D5CDD505-2E9C-101B-9397-08002B2CF9AE}" pid="4" name="KSOTemplateDocerSaveRecord">
    <vt:lpwstr>eyJoZGlkIjoiMGYyMTZlZWU1ZDA0YzBlNDk5YTZiMmJjY2UzZWQ1YTgiLCJ1c2VySWQiOiIxNTQ5NzE5NzQwIn0=</vt:lpwstr>
  </property>
</Properties>
</file>