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auto"/>
          <w:sz w:val="52"/>
          <w:szCs w:val="52"/>
          <w:highlight w:val="none"/>
          <w:u w:val="single"/>
        </w:rPr>
      </w:pPr>
    </w:p>
    <w:p>
      <w:pPr>
        <w:pStyle w:val="2"/>
        <w:rPr>
          <w:rFonts w:hint="eastAsia" w:ascii="宋体" w:hAnsi="宋体" w:eastAsia="宋体" w:cs="宋体"/>
          <w:color w:val="auto"/>
          <w:highlight w:val="none"/>
        </w:rPr>
      </w:pPr>
    </w:p>
    <w:p>
      <w:pPr>
        <w:pStyle w:val="6"/>
        <w:jc w:val="center"/>
        <w:rPr>
          <w:rFonts w:hint="eastAsia" w:ascii="宋体" w:hAnsi="宋体" w:eastAsia="宋体" w:cs="宋体"/>
          <w:color w:val="auto"/>
          <w:sz w:val="22"/>
          <w:szCs w:val="22"/>
          <w:highlight w:val="none"/>
        </w:rPr>
      </w:pPr>
      <w:r>
        <w:rPr>
          <w:rFonts w:hint="eastAsia" w:ascii="宋体" w:hAnsi="宋体" w:eastAsia="宋体" w:cs="宋体"/>
          <w:color w:val="auto"/>
          <w:sz w:val="52"/>
          <w:szCs w:val="52"/>
          <w:highlight w:val="none"/>
          <w:lang w:eastAsia="zh-CN"/>
        </w:rPr>
        <w:t xml:space="preserve">高柱城中村改造项目三期商品区地(3#-2)项目供热工程劳务分包采购 </w:t>
      </w:r>
      <w:r>
        <w:rPr>
          <w:rFonts w:hint="eastAsia" w:ascii="宋体" w:hAnsi="宋体" w:eastAsia="宋体" w:cs="宋体"/>
          <w:color w:val="auto"/>
          <w:sz w:val="52"/>
          <w:szCs w:val="52"/>
          <w:highlight w:val="none"/>
        </w:rPr>
        <w:t xml:space="preserve"> </w:t>
      </w:r>
    </w:p>
    <w:p>
      <w:pPr>
        <w:rPr>
          <w:rFonts w:hint="eastAsia" w:ascii="宋体" w:hAnsi="宋体" w:eastAsia="宋体" w:cs="宋体"/>
          <w:color w:val="auto"/>
          <w:highlight w:val="none"/>
        </w:rPr>
      </w:pPr>
    </w:p>
    <w:p>
      <w:pPr>
        <w:spacing w:line="500" w:lineRule="exact"/>
        <w:jc w:val="center"/>
        <w:rPr>
          <w:rFonts w:hint="eastAsia" w:ascii="宋体" w:hAnsi="宋体" w:eastAsia="宋体" w:cs="宋体"/>
          <w:b/>
          <w:color w:val="auto"/>
          <w:sz w:val="52"/>
          <w:szCs w:val="52"/>
          <w:highlight w:val="none"/>
        </w:rPr>
      </w:pPr>
    </w:p>
    <w:p>
      <w:pPr>
        <w:pStyle w:val="2"/>
        <w:rPr>
          <w:rFonts w:hint="eastAsia" w:ascii="宋体" w:hAnsi="宋体" w:eastAsia="宋体" w:cs="宋体"/>
          <w:color w:val="auto"/>
          <w:highlight w:val="none"/>
        </w:rPr>
      </w:pPr>
    </w:p>
    <w:p>
      <w:pPr>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比</w:t>
      </w:r>
    </w:p>
    <w:p>
      <w:pPr>
        <w:spacing w:line="360" w:lineRule="auto"/>
        <w:jc w:val="center"/>
        <w:rPr>
          <w:rFonts w:hint="eastAsia" w:ascii="宋体" w:hAnsi="宋体" w:eastAsia="宋体" w:cs="宋体"/>
          <w:color w:val="auto"/>
          <w:sz w:val="36"/>
          <w:szCs w:val="32"/>
          <w:highlight w:val="none"/>
        </w:rPr>
      </w:pPr>
      <w:r>
        <w:rPr>
          <w:rFonts w:hint="eastAsia" w:ascii="宋体" w:hAnsi="宋体" w:eastAsia="宋体" w:cs="宋体"/>
          <w:b/>
          <w:bCs/>
          <w:color w:val="auto"/>
          <w:sz w:val="72"/>
          <w:szCs w:val="72"/>
          <w:highlight w:val="none"/>
        </w:rPr>
        <w:t>选</w:t>
      </w:r>
    </w:p>
    <w:p>
      <w:pPr>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文</w:t>
      </w:r>
    </w:p>
    <w:p>
      <w:pPr>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件</w:t>
      </w:r>
    </w:p>
    <w:p>
      <w:pPr>
        <w:pStyle w:val="17"/>
        <w:rPr>
          <w:rFonts w:hint="eastAsia" w:ascii="宋体" w:hAnsi="宋体" w:eastAsia="宋体" w:cs="宋体"/>
          <w:b/>
          <w:bCs/>
          <w:color w:val="auto"/>
          <w:kern w:val="0"/>
          <w:sz w:val="24"/>
          <w:highlight w:val="none"/>
        </w:rPr>
      </w:pPr>
    </w:p>
    <w:p>
      <w:pPr>
        <w:pStyle w:val="17"/>
        <w:rPr>
          <w:rFonts w:hint="eastAsia" w:ascii="宋体" w:hAnsi="宋体" w:eastAsia="宋体" w:cs="宋体"/>
          <w:b/>
          <w:bCs/>
          <w:color w:val="auto"/>
          <w:kern w:val="0"/>
          <w:sz w:val="24"/>
          <w:highlight w:val="none"/>
        </w:rPr>
      </w:pPr>
    </w:p>
    <w:p>
      <w:pPr>
        <w:spacing w:line="500" w:lineRule="exact"/>
        <w:jc w:val="center"/>
        <w:rPr>
          <w:rFonts w:hint="eastAsia" w:ascii="宋体" w:hAnsi="宋体" w:eastAsia="宋体" w:cs="宋体"/>
          <w:b/>
          <w:bCs/>
          <w:color w:val="auto"/>
          <w:sz w:val="28"/>
          <w:szCs w:val="28"/>
          <w:highlight w:val="none"/>
        </w:rPr>
      </w:pPr>
    </w:p>
    <w:p>
      <w:pPr>
        <w:pStyle w:val="2"/>
        <w:rPr>
          <w:rFonts w:hint="eastAsia" w:ascii="宋体" w:hAnsi="宋体" w:eastAsia="宋体" w:cs="宋体"/>
          <w:color w:val="auto"/>
          <w:highlight w:val="none"/>
        </w:rPr>
      </w:pPr>
    </w:p>
    <w:p>
      <w:pPr>
        <w:spacing w:line="500" w:lineRule="exact"/>
        <w:jc w:val="center"/>
        <w:rPr>
          <w:rFonts w:hint="eastAsia" w:ascii="宋体" w:hAnsi="宋体" w:eastAsia="宋体" w:cs="宋体"/>
          <w:b/>
          <w:bCs/>
          <w:color w:val="auto"/>
          <w:sz w:val="28"/>
          <w:szCs w:val="28"/>
          <w:highlight w:val="none"/>
        </w:rPr>
      </w:pPr>
    </w:p>
    <w:p>
      <w:pPr>
        <w:spacing w:line="3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比选单位：石家庄承宏工程建设有限公司</w:t>
      </w:r>
    </w:p>
    <w:p>
      <w:pPr>
        <w:spacing w:line="3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pPr>
        <w:pStyle w:val="20"/>
        <w:spacing w:line="340" w:lineRule="exact"/>
        <w:ind w:left="0" w:leftChars="0"/>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202</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lang w:val="en-US" w:eastAsia="zh-CN"/>
        </w:rPr>
        <w:t>03</w:t>
      </w:r>
      <w:r>
        <w:rPr>
          <w:rFonts w:hint="eastAsia" w:ascii="宋体" w:hAnsi="宋体" w:eastAsia="宋体" w:cs="宋体"/>
          <w:b/>
          <w:bCs/>
          <w:color w:val="auto"/>
          <w:sz w:val="28"/>
          <w:szCs w:val="28"/>
          <w:highlight w:val="none"/>
        </w:rPr>
        <w:t>月</w:t>
      </w:r>
    </w:p>
    <w:p>
      <w:pPr>
        <w:spacing w:line="340" w:lineRule="exact"/>
        <w:jc w:val="center"/>
        <w:rPr>
          <w:rFonts w:hint="eastAsia" w:ascii="宋体" w:hAnsi="宋体" w:eastAsia="宋体" w:cs="宋体"/>
          <w:b/>
          <w:bCs/>
          <w:color w:val="auto"/>
          <w:sz w:val="44"/>
          <w:szCs w:val="44"/>
          <w:highlight w:val="none"/>
        </w:rPr>
        <w:sectPr>
          <w:pgSz w:w="11906" w:h="16838"/>
          <w:pgMar w:top="1417" w:right="1417" w:bottom="1417" w:left="1474" w:header="851" w:footer="850" w:gutter="0"/>
          <w:pgBorders>
            <w:top w:val="none" w:sz="0" w:space="0"/>
            <w:left w:val="none" w:sz="0" w:space="0"/>
            <w:bottom w:val="none" w:sz="0" w:space="0"/>
            <w:right w:val="none" w:sz="0" w:space="0"/>
          </w:pgBorders>
          <w:pgNumType w:start="1"/>
          <w:cols w:space="0" w:num="1"/>
          <w:docGrid w:linePitch="312" w:charSpace="0"/>
        </w:sectPr>
      </w:pPr>
    </w:p>
    <w:p>
      <w:pPr>
        <w:pStyle w:val="19"/>
        <w:rPr>
          <w:rFonts w:hint="eastAsia" w:ascii="宋体" w:hAnsi="宋体" w:eastAsia="宋体" w:cs="宋体"/>
          <w:color w:val="auto"/>
          <w:highlight w:val="none"/>
        </w:rPr>
      </w:pPr>
    </w:p>
    <w:p>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pPr>
        <w:pStyle w:val="6"/>
        <w:rPr>
          <w:rFonts w:hint="eastAsia" w:ascii="宋体" w:hAnsi="宋体" w:eastAsia="宋体" w:cs="宋体"/>
          <w:color w:val="auto"/>
          <w:sz w:val="44"/>
          <w:szCs w:val="44"/>
          <w:highlight w:val="none"/>
        </w:rPr>
      </w:pPr>
    </w:p>
    <w:p>
      <w:pPr>
        <w:pStyle w:val="20"/>
        <w:tabs>
          <w:tab w:val="right" w:leader="dot" w:pos="9015"/>
        </w:tabs>
        <w:spacing w:line="760" w:lineRule="exact"/>
        <w:rPr>
          <w:rFonts w:hint="eastAsia" w:ascii="宋体" w:hAnsi="宋体" w:eastAsia="宋体" w:cs="宋体"/>
          <w:color w:val="auto"/>
          <w:sz w:val="30"/>
          <w:szCs w:val="30"/>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"1-2"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"_Toc8999"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第一章 公开比选采购公告</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_Toc8999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tabs>
          <w:tab w:val="right" w:leader="dot" w:pos="9015"/>
        </w:tabs>
        <w:spacing w:line="760" w:lineRule="exact"/>
        <w:rPr>
          <w:rFonts w:hint="eastAsia" w:ascii="宋体" w:hAnsi="宋体" w:eastAsia="宋体" w:cs="宋体"/>
          <w:color w:val="auto"/>
          <w:sz w:val="30"/>
          <w:szCs w:val="30"/>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"_Toc28349"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第二章 供应商须知</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_Toc28349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5</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tabs>
          <w:tab w:val="right" w:leader="dot" w:pos="9015"/>
        </w:tabs>
        <w:spacing w:line="760" w:lineRule="exact"/>
        <w:rPr>
          <w:rFonts w:hint="eastAsia" w:ascii="宋体" w:hAnsi="宋体" w:eastAsia="宋体" w:cs="宋体"/>
          <w:color w:val="auto"/>
          <w:sz w:val="30"/>
          <w:szCs w:val="30"/>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"_Toc12933"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第三章 采购方法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_Toc12933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8</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tabs>
          <w:tab w:val="right" w:leader="dot" w:pos="9015"/>
        </w:tabs>
        <w:spacing w:line="760" w:lineRule="exact"/>
        <w:rPr>
          <w:rFonts w:hint="eastAsia" w:ascii="宋体" w:hAnsi="宋体" w:eastAsia="宋体" w:cs="宋体"/>
          <w:color w:val="auto"/>
          <w:sz w:val="30"/>
          <w:szCs w:val="30"/>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"_Toc16056"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第四章 评审办法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_Toc16056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10</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tabs>
          <w:tab w:val="right" w:leader="dot" w:pos="9015"/>
        </w:tabs>
        <w:spacing w:line="760" w:lineRule="exact"/>
        <w:rPr>
          <w:rFonts w:hint="eastAsia" w:ascii="宋体" w:hAnsi="宋体" w:eastAsia="宋体" w:cs="宋体"/>
          <w:color w:val="auto"/>
          <w:sz w:val="30"/>
          <w:szCs w:val="30"/>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"_Toc28649"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第五章 响应文件格式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_Toc28649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13</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tabs>
          <w:tab w:val="right" w:leader="dot" w:pos="9015"/>
        </w:tabs>
        <w:rPr>
          <w:rFonts w:hint="eastAsia" w:ascii="宋体" w:hAnsi="宋体" w:eastAsia="宋体" w:cs="宋体"/>
          <w:color w:val="auto"/>
          <w:highlight w:val="none"/>
        </w:rPr>
      </w:pPr>
    </w:p>
    <w:p>
      <w:pPr>
        <w:pStyle w:val="6"/>
        <w:spacing w:line="740" w:lineRule="exact"/>
        <w:rPr>
          <w:rFonts w:hint="eastAsia" w:ascii="宋体" w:hAnsi="宋体" w:eastAsia="宋体" w:cs="宋体"/>
          <w:color w:val="auto"/>
          <w:highlight w:val="none"/>
        </w:rPr>
      </w:pPr>
      <w:r>
        <w:rPr>
          <w:rFonts w:hint="eastAsia" w:ascii="宋体" w:hAnsi="宋体" w:eastAsia="宋体" w:cs="宋体"/>
          <w:color w:val="auto"/>
          <w:szCs w:val="28"/>
          <w:highlight w:val="none"/>
        </w:rPr>
        <w:fldChar w:fldCharType="end"/>
      </w: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5"/>
        <w:spacing w:after="0" w:line="500" w:lineRule="exact"/>
        <w:rPr>
          <w:rFonts w:hint="eastAsia" w:ascii="宋体" w:hAnsi="宋体" w:eastAsia="宋体" w:cs="宋体"/>
          <w:color w:val="auto"/>
          <w:sz w:val="32"/>
          <w:szCs w:val="32"/>
          <w:highlight w:val="none"/>
        </w:rPr>
        <w:sectPr>
          <w:footerReference r:id="rId3" w:type="default"/>
          <w:pgSz w:w="11906" w:h="16838"/>
          <w:pgMar w:top="1417" w:right="1417" w:bottom="1417" w:left="1474" w:header="851" w:footer="850" w:gutter="0"/>
          <w:pgBorders>
            <w:top w:val="none" w:sz="0" w:space="0"/>
            <w:left w:val="none" w:sz="0" w:space="0"/>
            <w:bottom w:val="none" w:sz="0" w:space="0"/>
            <w:right w:val="none" w:sz="0" w:space="0"/>
          </w:pgBorders>
          <w:pgNumType w:start="1"/>
          <w:cols w:space="0" w:num="1"/>
          <w:docGrid w:linePitch="312" w:charSpace="0"/>
        </w:sectPr>
      </w:pPr>
      <w:bookmarkStart w:id="0" w:name="_Toc4327"/>
    </w:p>
    <w:p>
      <w:pPr>
        <w:pStyle w:val="6"/>
        <w:jc w:val="center"/>
        <w:rPr>
          <w:rFonts w:hint="eastAsia" w:ascii="宋体" w:hAnsi="宋体" w:eastAsia="宋体" w:cs="宋体"/>
          <w:color w:val="auto"/>
          <w:sz w:val="36"/>
          <w:szCs w:val="36"/>
          <w:highlight w:val="none"/>
        </w:rPr>
      </w:pPr>
      <w:bookmarkStart w:id="1" w:name="_Toc8999"/>
      <w:r>
        <w:rPr>
          <w:rFonts w:hint="eastAsia" w:ascii="宋体" w:hAnsi="宋体" w:eastAsia="宋体" w:cs="宋体"/>
          <w:color w:val="auto"/>
          <w:sz w:val="36"/>
          <w:szCs w:val="36"/>
          <w:highlight w:val="none"/>
        </w:rPr>
        <w:t>第一章 公开比选采购公告</w:t>
      </w:r>
      <w:bookmarkEnd w:id="0"/>
      <w:bookmarkEnd w:id="1"/>
    </w:p>
    <w:p>
      <w:pPr>
        <w:spacing w:line="520" w:lineRule="exact"/>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高柱城中村改造项目三期商品区地(3#-2)项目供热工程劳务分包采购</w:t>
      </w:r>
    </w:p>
    <w:p>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公开比选采购公告</w:t>
      </w:r>
    </w:p>
    <w:p>
      <w:pPr>
        <w:numPr>
          <w:ilvl w:val="0"/>
          <w:numId w:val="1"/>
        </w:numPr>
        <w:spacing w:line="520" w:lineRule="exact"/>
        <w:ind w:firstLine="482" w:firstLineChars="200"/>
        <w:rPr>
          <w:rFonts w:hint="eastAsia" w:ascii="宋体" w:hAnsi="宋体" w:eastAsia="宋体" w:cs="宋体"/>
          <w:color w:val="auto"/>
          <w:spacing w:val="-6"/>
          <w:sz w:val="24"/>
          <w:highlight w:val="none"/>
        </w:rPr>
      </w:pPr>
      <w:r>
        <w:rPr>
          <w:rFonts w:hint="eastAsia" w:ascii="宋体" w:hAnsi="宋体" w:eastAsia="宋体" w:cs="宋体"/>
          <w:b/>
          <w:bCs/>
          <w:color w:val="auto"/>
          <w:sz w:val="24"/>
          <w:highlight w:val="none"/>
        </w:rPr>
        <w:t>项目名称：</w:t>
      </w:r>
      <w:r>
        <w:rPr>
          <w:rFonts w:hint="eastAsia" w:ascii="宋体" w:hAnsi="宋体" w:eastAsia="宋体" w:cs="宋体"/>
          <w:color w:val="auto"/>
          <w:spacing w:val="-6"/>
          <w:sz w:val="24"/>
          <w:highlight w:val="none"/>
          <w:lang w:eastAsia="zh-CN"/>
        </w:rPr>
        <w:t xml:space="preserve">高柱城中村改造项目三期商品区地(3#-2)项目供热工程劳务分包采购 </w:t>
      </w:r>
      <w:r>
        <w:rPr>
          <w:rFonts w:hint="eastAsia" w:ascii="宋体" w:hAnsi="宋体" w:eastAsia="宋体" w:cs="宋体"/>
          <w:color w:val="auto"/>
          <w:spacing w:val="-6"/>
          <w:sz w:val="24"/>
          <w:highlight w:val="none"/>
        </w:rPr>
        <w:t xml:space="preserve"> </w:t>
      </w:r>
    </w:p>
    <w:p>
      <w:pPr>
        <w:numPr>
          <w:ilvl w:val="0"/>
          <w:numId w:val="1"/>
        </w:numPr>
        <w:spacing w:line="52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项目地点：</w:t>
      </w:r>
      <w:r>
        <w:rPr>
          <w:rFonts w:hint="eastAsia" w:ascii="宋体" w:hAnsi="宋体" w:eastAsia="宋体" w:cs="宋体"/>
          <w:color w:val="auto"/>
          <w:sz w:val="24"/>
          <w:highlight w:val="none"/>
        </w:rPr>
        <w:t>石家庄市</w:t>
      </w:r>
    </w:p>
    <w:p>
      <w:pPr>
        <w:spacing w:line="520" w:lineRule="exact"/>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highlight w:val="none"/>
        </w:rPr>
        <w:t>三、采购范围：</w:t>
      </w:r>
      <w:r>
        <w:rPr>
          <w:rFonts w:hint="eastAsia" w:ascii="宋体" w:hAnsi="宋体" w:eastAsia="宋体" w:cs="宋体"/>
          <w:color w:val="auto"/>
          <w:sz w:val="24"/>
          <w:highlight w:val="none"/>
          <w:lang w:eastAsia="zh-CN"/>
        </w:rPr>
        <w:t>高柱城中村改造项目三期商品区地(3#-2)项目供热工程</w:t>
      </w:r>
      <w:r>
        <w:rPr>
          <w:rFonts w:hint="eastAsia" w:ascii="宋体" w:hAnsi="宋体" w:eastAsia="宋体" w:cs="宋体"/>
          <w:color w:val="auto"/>
          <w:sz w:val="24"/>
          <w:highlight w:val="none"/>
        </w:rPr>
        <w:t>图纸和清单所含全部劳务，费用包括劳务工人的工资、保险费、 管理费、利润、税金、风险费、政策性文件规定费用等所有费用</w:t>
      </w:r>
    </w:p>
    <w:p>
      <w:pPr>
        <w:spacing w:line="520" w:lineRule="exact"/>
        <w:ind w:firstLine="482" w:firstLineChars="200"/>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rPr>
        <w:t>四、工期：</w:t>
      </w:r>
      <w:r>
        <w:rPr>
          <w:rFonts w:hint="eastAsia" w:ascii="宋体" w:hAnsi="宋体" w:eastAsia="宋体" w:cs="宋体"/>
          <w:color w:val="auto"/>
          <w:sz w:val="24"/>
          <w:highlight w:val="none"/>
          <w:lang w:val="en-US" w:eastAsia="zh-CN"/>
        </w:rPr>
        <w:t>随总包进度要求</w:t>
      </w:r>
    </w:p>
    <w:p>
      <w:pPr>
        <w:spacing w:line="52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五、质量标准：</w:t>
      </w:r>
      <w:r>
        <w:rPr>
          <w:rFonts w:hint="eastAsia" w:ascii="宋体" w:hAnsi="宋体" w:eastAsia="宋体" w:cs="宋体"/>
          <w:color w:val="auto"/>
          <w:sz w:val="24"/>
          <w:highlight w:val="none"/>
          <w:shd w:val="clear" w:color="auto" w:fill="FFFFFF"/>
        </w:rPr>
        <w:t>达到国家质量验收规范合格标准</w:t>
      </w:r>
    </w:p>
    <w:p>
      <w:pPr>
        <w:spacing w:line="520" w:lineRule="exact"/>
        <w:ind w:firstLine="482" w:firstLineChars="200"/>
        <w:jc w:val="left"/>
        <w:rPr>
          <w:rFonts w:hint="eastAsia" w:ascii="宋体" w:hAnsi="宋体" w:eastAsia="宋体" w:cs="宋体"/>
          <w:color w:val="auto"/>
          <w:sz w:val="24"/>
          <w:highlight w:val="none"/>
          <w:shd w:val="clear" w:color="auto" w:fill="FFFFFF"/>
        </w:rPr>
      </w:pPr>
      <w:r>
        <w:rPr>
          <w:rFonts w:hint="eastAsia" w:ascii="宋体" w:hAnsi="宋体" w:eastAsia="宋体" w:cs="宋体"/>
          <w:b/>
          <w:bCs/>
          <w:color w:val="auto"/>
          <w:sz w:val="24"/>
          <w:highlight w:val="none"/>
        </w:rPr>
        <w:t>六、标段划分：</w:t>
      </w:r>
      <w:r>
        <w:rPr>
          <w:rFonts w:hint="eastAsia" w:ascii="宋体" w:hAnsi="宋体" w:eastAsia="宋体" w:cs="宋体"/>
          <w:color w:val="auto"/>
          <w:sz w:val="24"/>
          <w:highlight w:val="none"/>
          <w:shd w:val="clear" w:color="auto" w:fill="FFFFFF"/>
        </w:rPr>
        <w:t>共</w:t>
      </w:r>
      <w:r>
        <w:rPr>
          <w:rFonts w:hint="eastAsia" w:ascii="宋体" w:hAnsi="宋体" w:eastAsia="宋体" w:cs="宋体"/>
          <w:color w:val="auto"/>
          <w:sz w:val="24"/>
          <w:highlight w:val="none"/>
          <w:shd w:val="clear" w:color="auto" w:fill="FFFFFF"/>
          <w:lang w:val="en-US" w:eastAsia="zh-CN"/>
        </w:rPr>
        <w:t>一</w:t>
      </w:r>
      <w:r>
        <w:rPr>
          <w:rFonts w:hint="eastAsia" w:ascii="宋体" w:hAnsi="宋体" w:eastAsia="宋体" w:cs="宋体"/>
          <w:color w:val="auto"/>
          <w:sz w:val="24"/>
          <w:highlight w:val="none"/>
          <w:shd w:val="clear" w:color="auto" w:fill="FFFFFF"/>
        </w:rPr>
        <w:t>个标段。</w:t>
      </w:r>
    </w:p>
    <w:p>
      <w:pPr>
        <w:spacing w:line="520" w:lineRule="exact"/>
        <w:ind w:firstLine="482" w:firstLineChars="20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七、</w:t>
      </w:r>
      <w:r>
        <w:rPr>
          <w:rFonts w:hint="eastAsia" w:ascii="宋体" w:hAnsi="宋体" w:eastAsia="宋体" w:cs="宋体"/>
          <w:b/>
          <w:bCs/>
          <w:color w:val="auto"/>
          <w:sz w:val="24"/>
          <w:highlight w:val="none"/>
        </w:rPr>
        <w:t xml:space="preserve">供应商资格要求 </w:t>
      </w:r>
      <w:r>
        <w:rPr>
          <w:rFonts w:hint="eastAsia" w:ascii="宋体" w:hAnsi="宋体" w:eastAsia="宋体" w:cs="宋体"/>
          <w:color w:val="auto"/>
          <w:sz w:val="24"/>
          <w:highlight w:val="none"/>
        </w:rPr>
        <w:t xml:space="preserve">           </w:t>
      </w:r>
    </w:p>
    <w:p>
      <w:pPr>
        <w:spacing w:line="520" w:lineRule="exact"/>
        <w:ind w:firstLine="480" w:firstLineChars="2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shd w:val="clear" w:color="auto" w:fill="FFFFFF"/>
        </w:rPr>
        <w:t>具有独立承担民事责任的能力；</w:t>
      </w:r>
    </w:p>
    <w:p>
      <w:pPr>
        <w:pStyle w:val="12"/>
        <w:spacing w:line="520" w:lineRule="exact"/>
        <w:ind w:firstLine="480" w:firstLineChars="200"/>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2.具备建设行政主管部门核发的不分专业施工劳务不分等级资质或施工劳务不分等级资质；</w:t>
      </w:r>
    </w:p>
    <w:p>
      <w:pPr>
        <w:spacing w:line="520" w:lineRule="exact"/>
        <w:ind w:firstLine="480" w:firstLineChars="2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3.具有</w:t>
      </w:r>
      <w:bookmarkStart w:id="2" w:name="OLE_LINK2"/>
      <w:r>
        <w:rPr>
          <w:rFonts w:hint="eastAsia" w:ascii="宋体" w:hAnsi="宋体" w:eastAsia="宋体" w:cs="宋体"/>
          <w:color w:val="auto"/>
          <w:sz w:val="24"/>
          <w:highlight w:val="none"/>
          <w:shd w:val="clear" w:color="auto" w:fill="FFFFFF"/>
        </w:rPr>
        <w:t>有效的安全生产许可证</w:t>
      </w:r>
      <w:bookmarkEnd w:id="2"/>
      <w:r>
        <w:rPr>
          <w:rFonts w:hint="eastAsia" w:ascii="宋体" w:hAnsi="宋体" w:eastAsia="宋体" w:cs="宋体"/>
          <w:color w:val="auto"/>
          <w:sz w:val="24"/>
          <w:highlight w:val="none"/>
          <w:shd w:val="clear" w:color="auto" w:fill="FFFFFF"/>
        </w:rPr>
        <w:t>；</w:t>
      </w:r>
    </w:p>
    <w:p>
      <w:pPr>
        <w:pStyle w:val="12"/>
        <w:spacing w:line="520" w:lineRule="exact"/>
        <w:ind w:firstLine="480" w:firstLineChars="200"/>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4.未被“信用中国”网站列入</w:t>
      </w:r>
      <w:bookmarkStart w:id="3" w:name="OLE_LINK3"/>
      <w:r>
        <w:rPr>
          <w:rFonts w:hint="eastAsia" w:ascii="宋体" w:hAnsi="宋体" w:eastAsia="宋体" w:cs="宋体"/>
          <w:color w:val="auto"/>
          <w:szCs w:val="24"/>
          <w:highlight w:val="none"/>
          <w:shd w:val="clear" w:color="auto" w:fill="FFFFFF"/>
        </w:rPr>
        <w:t>失信被执行人名单</w:t>
      </w:r>
      <w:bookmarkEnd w:id="3"/>
      <w:r>
        <w:rPr>
          <w:rFonts w:hint="eastAsia" w:ascii="宋体" w:hAnsi="宋体" w:eastAsia="宋体" w:cs="宋体"/>
          <w:color w:val="auto"/>
          <w:szCs w:val="24"/>
          <w:highlight w:val="none"/>
          <w:shd w:val="clear" w:color="auto" w:fill="FFFFFF"/>
        </w:rPr>
        <w:t>。（信用中国</w:t>
      </w:r>
      <w:bookmarkStart w:id="4" w:name="OLE_LINK1"/>
      <w:r>
        <w:rPr>
          <w:rFonts w:hint="eastAsia" w:ascii="宋体" w:hAnsi="宋体" w:eastAsia="宋体" w:cs="宋体"/>
          <w:color w:val="auto"/>
          <w:szCs w:val="24"/>
          <w:highlight w:val="none"/>
          <w:shd w:val="clear" w:color="auto" w:fill="FFFFFF"/>
        </w:rPr>
        <w:fldChar w:fldCharType="begin"/>
      </w:r>
      <w:r>
        <w:rPr>
          <w:rFonts w:hint="eastAsia" w:ascii="宋体" w:hAnsi="宋体" w:eastAsia="宋体" w:cs="宋体"/>
          <w:color w:val="auto"/>
          <w:szCs w:val="24"/>
          <w:highlight w:val="none"/>
          <w:shd w:val="clear" w:color="auto" w:fill="FFFFFF"/>
        </w:rPr>
        <w:instrText xml:space="preserve"> HYPERLINK "https://www.creditchina.gov.cn/" </w:instrText>
      </w:r>
      <w:r>
        <w:rPr>
          <w:rFonts w:hint="eastAsia" w:ascii="宋体" w:hAnsi="宋体" w:eastAsia="宋体" w:cs="宋体"/>
          <w:color w:val="auto"/>
          <w:szCs w:val="24"/>
          <w:highlight w:val="none"/>
          <w:shd w:val="clear" w:color="auto" w:fill="FFFFFF"/>
        </w:rPr>
        <w:fldChar w:fldCharType="separate"/>
      </w:r>
      <w:r>
        <w:rPr>
          <w:rFonts w:hint="eastAsia" w:ascii="宋体" w:hAnsi="宋体" w:eastAsia="宋体" w:cs="宋体"/>
          <w:color w:val="auto"/>
          <w:szCs w:val="24"/>
          <w:highlight w:val="none"/>
          <w:shd w:val="clear" w:color="auto" w:fill="FFFFFF"/>
        </w:rPr>
        <w:t>https://www.creditchina.gov.cn/</w:t>
      </w:r>
      <w:r>
        <w:rPr>
          <w:rFonts w:hint="eastAsia" w:ascii="宋体" w:hAnsi="宋体" w:eastAsia="宋体" w:cs="宋体"/>
          <w:color w:val="auto"/>
          <w:szCs w:val="24"/>
          <w:highlight w:val="none"/>
          <w:shd w:val="clear" w:color="auto" w:fill="FFFFFF"/>
        </w:rPr>
        <w:fldChar w:fldCharType="end"/>
      </w:r>
      <w:bookmarkEnd w:id="4"/>
      <w:r>
        <w:rPr>
          <w:rFonts w:hint="eastAsia" w:ascii="宋体" w:hAnsi="宋体" w:eastAsia="宋体" w:cs="宋体"/>
          <w:color w:val="auto"/>
          <w:szCs w:val="24"/>
          <w:highlight w:val="none"/>
          <w:shd w:val="clear" w:color="auto" w:fill="FFFFFF"/>
        </w:rPr>
        <w:t>查询）；</w:t>
      </w:r>
    </w:p>
    <w:p>
      <w:pPr>
        <w:spacing w:line="520" w:lineRule="exact"/>
        <w:ind w:firstLine="480" w:firstLineChars="2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5.单位负责人为同一人或者存在控股、管理关系的不同单位，不得同时参加本项目比选，否则均按无效标处理；</w:t>
      </w:r>
    </w:p>
    <w:p>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FFFFFF"/>
          <w:lang w:val="en-US" w:eastAsia="zh-CN"/>
        </w:rPr>
        <w:t>6</w:t>
      </w:r>
      <w:r>
        <w:rPr>
          <w:rFonts w:hint="eastAsia" w:ascii="宋体" w:hAnsi="宋体" w:eastAsia="宋体" w:cs="宋体"/>
          <w:color w:val="auto"/>
          <w:sz w:val="24"/>
          <w:highlight w:val="none"/>
          <w:shd w:val="clear" w:color="auto" w:fill="FFFFFF"/>
        </w:rPr>
        <w:t>.参加本项目比选的</w:t>
      </w: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shd w:val="clear" w:color="auto" w:fill="FFFFFF"/>
        </w:rPr>
        <w:t>应为石家庄承宏工程建设有限公司入库成员。</w:t>
      </w:r>
      <w:r>
        <w:rPr>
          <w:rFonts w:hint="eastAsia" w:ascii="宋体" w:hAnsi="宋体" w:eastAsia="宋体" w:cs="宋体"/>
          <w:color w:val="auto"/>
          <w:sz w:val="24"/>
          <w:highlight w:val="none"/>
        </w:rPr>
        <w:t xml:space="preserve">                                                </w:t>
      </w:r>
    </w:p>
    <w:p>
      <w:pPr>
        <w:widowControl/>
        <w:spacing w:line="520" w:lineRule="exact"/>
        <w:ind w:right="-110"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八</w:t>
      </w:r>
      <w:r>
        <w:rPr>
          <w:rFonts w:hint="eastAsia" w:ascii="宋体" w:hAnsi="宋体" w:eastAsia="宋体" w:cs="宋体"/>
          <w:b/>
          <w:bCs/>
          <w:color w:val="auto"/>
          <w:sz w:val="24"/>
          <w:highlight w:val="none"/>
        </w:rPr>
        <w:t>、公开比选采购文件的获取</w:t>
      </w:r>
    </w:p>
    <w:p>
      <w:pPr>
        <w:widowControl/>
        <w:spacing w:line="520" w:lineRule="exact"/>
        <w:ind w:right="-110" w:firstLine="420" w:firstLineChars="200"/>
        <w:jc w:val="left"/>
        <w:rPr>
          <w:rFonts w:hint="eastAsia" w:ascii="宋体" w:hAnsi="宋体" w:eastAsia="宋体" w:cs="宋体"/>
          <w:b/>
          <w:bCs/>
          <w:color w:val="auto"/>
          <w:sz w:val="24"/>
          <w:highlight w:val="none"/>
          <w:u w:val="none"/>
        </w:rPr>
      </w:pPr>
      <w:r>
        <w:rPr>
          <w:rFonts w:hint="eastAsia" w:ascii="宋体" w:hAnsi="宋体" w:eastAsia="宋体" w:cs="宋体"/>
          <w:color w:val="auto"/>
          <w:highlight w:val="none"/>
          <w:u w:val="none"/>
        </w:rPr>
        <w:fldChar w:fldCharType="begin"/>
      </w:r>
      <w:r>
        <w:rPr>
          <w:rFonts w:hint="eastAsia" w:ascii="宋体" w:hAnsi="宋体" w:eastAsia="宋体" w:cs="宋体"/>
          <w:color w:val="auto"/>
          <w:highlight w:val="none"/>
          <w:u w:val="none"/>
        </w:rPr>
        <w:instrText xml:space="preserve"> HYPERLINK "mailto:凡有意参选者，请点击附件自行下载。如确认参加此次比选，需在2025年12月31日16时前将确认参加比选回执函（详见附件）发送到邮箱grchhgk@163.com" </w:instrText>
      </w:r>
      <w:r>
        <w:rPr>
          <w:rFonts w:hint="eastAsia" w:ascii="宋体" w:hAnsi="宋体" w:eastAsia="宋体" w:cs="宋体"/>
          <w:color w:val="auto"/>
          <w:highlight w:val="none"/>
          <w:u w:val="none"/>
        </w:rPr>
        <w:fldChar w:fldCharType="separate"/>
      </w:r>
      <w:r>
        <w:rPr>
          <w:rStyle w:val="26"/>
          <w:rFonts w:hint="eastAsia" w:ascii="宋体" w:hAnsi="宋体" w:eastAsia="宋体" w:cs="宋体"/>
          <w:color w:val="auto"/>
          <w:sz w:val="24"/>
          <w:highlight w:val="none"/>
          <w:u w:val="none"/>
        </w:rPr>
        <w:t>凡有意参选者，请点击附件自行下载。</w:t>
      </w:r>
      <w:r>
        <w:rPr>
          <w:rStyle w:val="26"/>
          <w:rFonts w:hint="eastAsia" w:ascii="宋体" w:hAnsi="宋体" w:eastAsia="宋体" w:cs="宋体"/>
          <w:b/>
          <w:bCs/>
          <w:color w:val="auto"/>
          <w:sz w:val="24"/>
          <w:highlight w:val="none"/>
          <w:u w:val="none"/>
        </w:rPr>
        <w:t>如确认参加此次比选，需</w:t>
      </w:r>
      <w:r>
        <w:rPr>
          <w:rStyle w:val="26"/>
          <w:rFonts w:hint="eastAsia" w:ascii="宋体" w:hAnsi="宋体" w:cs="宋体"/>
          <w:b/>
          <w:bCs/>
          <w:color w:val="auto"/>
          <w:sz w:val="24"/>
          <w:highlight w:val="none"/>
          <w:u w:val="none"/>
          <w:lang w:val="en-US" w:eastAsia="zh-CN"/>
        </w:rPr>
        <w:t>2026</w:t>
      </w:r>
      <w:r>
        <w:rPr>
          <w:rStyle w:val="26"/>
          <w:rFonts w:hint="eastAsia" w:ascii="宋体" w:hAnsi="宋体" w:eastAsia="宋体" w:cs="宋体"/>
          <w:b/>
          <w:bCs/>
          <w:color w:val="auto"/>
          <w:sz w:val="24"/>
          <w:highlight w:val="none"/>
          <w:u w:val="none"/>
        </w:rPr>
        <w:t>年</w:t>
      </w:r>
      <w:r>
        <w:rPr>
          <w:rStyle w:val="26"/>
          <w:rFonts w:hint="eastAsia" w:ascii="宋体" w:hAnsi="宋体" w:cs="宋体"/>
          <w:b/>
          <w:bCs/>
          <w:color w:val="auto"/>
          <w:sz w:val="24"/>
          <w:highlight w:val="none"/>
          <w:u w:val="none"/>
          <w:lang w:val="en-US" w:eastAsia="zh-CN"/>
        </w:rPr>
        <w:t>04</w:t>
      </w:r>
      <w:r>
        <w:rPr>
          <w:rStyle w:val="26"/>
          <w:rFonts w:hint="eastAsia" w:ascii="宋体" w:hAnsi="宋体" w:eastAsia="宋体" w:cs="宋体"/>
          <w:b/>
          <w:bCs/>
          <w:color w:val="auto"/>
          <w:sz w:val="24"/>
          <w:highlight w:val="none"/>
          <w:u w:val="none"/>
        </w:rPr>
        <w:t>月</w:t>
      </w:r>
      <w:r>
        <w:rPr>
          <w:rStyle w:val="26"/>
          <w:rFonts w:hint="eastAsia" w:ascii="宋体" w:hAnsi="宋体" w:cs="宋体"/>
          <w:b/>
          <w:bCs/>
          <w:color w:val="auto"/>
          <w:sz w:val="24"/>
          <w:highlight w:val="none"/>
          <w:u w:val="none"/>
          <w:lang w:val="en-US" w:eastAsia="zh-CN"/>
        </w:rPr>
        <w:t>01</w:t>
      </w:r>
      <w:r>
        <w:rPr>
          <w:rStyle w:val="26"/>
          <w:rFonts w:hint="eastAsia" w:ascii="宋体" w:hAnsi="宋体" w:eastAsia="宋体" w:cs="宋体"/>
          <w:b/>
          <w:bCs/>
          <w:color w:val="auto"/>
          <w:sz w:val="24"/>
          <w:highlight w:val="none"/>
          <w:u w:val="none"/>
        </w:rPr>
        <w:t>日</w:t>
      </w:r>
      <w:r>
        <w:rPr>
          <w:rStyle w:val="26"/>
          <w:rFonts w:hint="eastAsia" w:ascii="宋体" w:hAnsi="宋体" w:cs="宋体"/>
          <w:b/>
          <w:bCs/>
          <w:color w:val="auto"/>
          <w:sz w:val="24"/>
          <w:highlight w:val="none"/>
          <w:u w:val="none"/>
          <w:lang w:val="en-US" w:eastAsia="zh-CN"/>
        </w:rPr>
        <w:t>15</w:t>
      </w:r>
      <w:r>
        <w:rPr>
          <w:rStyle w:val="26"/>
          <w:rFonts w:hint="eastAsia" w:ascii="宋体" w:hAnsi="宋体" w:eastAsia="宋体" w:cs="宋体"/>
          <w:b/>
          <w:bCs/>
          <w:color w:val="auto"/>
          <w:sz w:val="24"/>
          <w:highlight w:val="none"/>
          <w:u w:val="none"/>
        </w:rPr>
        <w:t>时前将确认参加比选回执函（详见附件）发送到邮箱grchhgk@163.com</w:t>
      </w:r>
      <w:r>
        <w:rPr>
          <w:rStyle w:val="26"/>
          <w:rFonts w:hint="eastAsia" w:ascii="宋体" w:hAnsi="宋体" w:eastAsia="宋体" w:cs="宋体"/>
          <w:b/>
          <w:bCs/>
          <w:color w:val="auto"/>
          <w:sz w:val="24"/>
          <w:highlight w:val="none"/>
          <w:u w:val="none"/>
        </w:rPr>
        <w:fldChar w:fldCharType="end"/>
      </w:r>
      <w:r>
        <w:rPr>
          <w:rFonts w:hint="eastAsia" w:ascii="宋体" w:hAnsi="宋体" w:eastAsia="宋体" w:cs="宋体"/>
          <w:b/>
          <w:bCs/>
          <w:color w:val="auto"/>
          <w:sz w:val="24"/>
          <w:highlight w:val="none"/>
          <w:u w:val="none"/>
        </w:rPr>
        <w:t xml:space="preserve"> ，未在规定时间内回执的供应商响应文件我方将不予以收取。</w:t>
      </w:r>
    </w:p>
    <w:p>
      <w:pPr>
        <w:widowControl/>
        <w:spacing w:line="520" w:lineRule="exact"/>
        <w:ind w:right="-110"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九</w:t>
      </w:r>
      <w:r>
        <w:rPr>
          <w:rFonts w:hint="eastAsia" w:ascii="宋体" w:hAnsi="宋体" w:eastAsia="宋体" w:cs="宋体"/>
          <w:b/>
          <w:bCs/>
          <w:color w:val="auto"/>
          <w:sz w:val="24"/>
          <w:highlight w:val="none"/>
        </w:rPr>
        <w:t>、响应文件的递交</w:t>
      </w:r>
    </w:p>
    <w:p>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1.响应文件递交截止时间：</w:t>
      </w:r>
      <w:r>
        <w:rPr>
          <w:rFonts w:hint="eastAsia" w:ascii="宋体" w:hAnsi="宋体" w:cs="宋体"/>
          <w:color w:val="auto"/>
          <w:sz w:val="24"/>
          <w:highlight w:val="none"/>
          <w:lang w:val="en-US" w:eastAsia="zh-CN"/>
        </w:rPr>
        <w:t>2026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04</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02</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14</w:t>
      </w:r>
      <w:r>
        <w:rPr>
          <w:rFonts w:hint="eastAsia" w:ascii="宋体" w:hAnsi="宋体" w:eastAsia="宋体" w:cs="宋体"/>
          <w:color w:val="auto"/>
          <w:sz w:val="24"/>
          <w:highlight w:val="none"/>
        </w:rPr>
        <w:t>时</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 xml:space="preserve"> 分（北京时间）。</w:t>
      </w:r>
      <w:bookmarkStart w:id="91" w:name="_GoBack"/>
      <w:bookmarkEnd w:id="91"/>
    </w:p>
    <w:p>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2.纸质响应文件递交地址：石家庄市和平东路751号石家庄东站西配楼2楼西会议室。</w:t>
      </w:r>
    </w:p>
    <w:p>
      <w:pPr>
        <w:pStyle w:val="12"/>
        <w:spacing w:line="5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3.响应文件递交注意事项：逾期递交的响应文件，比选单位将予以拒收。</w:t>
      </w:r>
    </w:p>
    <w:p>
      <w:pPr>
        <w:pStyle w:val="21"/>
        <w:widowControl/>
        <w:shd w:val="clear" w:color="auto" w:fill="FFFFFF"/>
        <w:spacing w:beforeAutospacing="0" w:afterAutospacing="0" w:line="520" w:lineRule="exact"/>
        <w:ind w:firstLine="420"/>
        <w:rPr>
          <w:rFonts w:hint="eastAsia" w:ascii="宋体" w:hAnsi="宋体" w:eastAsia="宋体" w:cs="宋体"/>
          <w:b/>
          <w:bCs/>
          <w:color w:val="auto"/>
          <w:kern w:val="2"/>
          <w:highlight w:val="none"/>
        </w:rPr>
      </w:pPr>
      <w:r>
        <w:rPr>
          <w:rFonts w:hint="eastAsia" w:ascii="宋体" w:hAnsi="宋体" w:eastAsia="宋体" w:cs="宋体"/>
          <w:b/>
          <w:bCs/>
          <w:color w:val="auto"/>
          <w:kern w:val="2"/>
          <w:highlight w:val="none"/>
          <w:lang w:val="en-US" w:eastAsia="zh-CN"/>
        </w:rPr>
        <w:t>十</w:t>
      </w:r>
      <w:r>
        <w:rPr>
          <w:rFonts w:hint="eastAsia" w:ascii="宋体" w:hAnsi="宋体" w:eastAsia="宋体" w:cs="宋体"/>
          <w:b/>
          <w:bCs/>
          <w:color w:val="auto"/>
          <w:kern w:val="2"/>
          <w:highlight w:val="none"/>
        </w:rPr>
        <w:t>、发布公告的媒体</w:t>
      </w:r>
    </w:p>
    <w:p>
      <w:pPr>
        <w:pStyle w:val="21"/>
        <w:widowControl/>
        <w:shd w:val="clear" w:color="auto" w:fill="FFFFFF"/>
        <w:spacing w:beforeAutospacing="0" w:afterAutospacing="0" w:line="520" w:lineRule="exact"/>
        <w:ind w:firstLine="420"/>
        <w:rPr>
          <w:rFonts w:hint="eastAsia" w:ascii="宋体" w:hAnsi="宋体" w:eastAsia="宋体" w:cs="宋体"/>
          <w:color w:val="auto"/>
          <w:highlight w:val="none"/>
        </w:rPr>
      </w:pPr>
      <w:r>
        <w:rPr>
          <w:rFonts w:hint="eastAsia" w:ascii="宋体" w:hAnsi="宋体" w:eastAsia="宋体" w:cs="宋体"/>
          <w:color w:val="auto"/>
          <w:kern w:val="2"/>
          <w:highlight w:val="none"/>
        </w:rPr>
        <w:t>本次比选公告在石家庄市供热管理集团有限公司官网https://www.sjzsgrjt.com/上发布。</w:t>
      </w:r>
    </w:p>
    <w:p>
      <w:pPr>
        <w:spacing w:line="52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w:t>
      </w: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、联系方式</w:t>
      </w:r>
    </w:p>
    <w:p>
      <w:pPr>
        <w:pStyle w:val="20"/>
        <w:spacing w:line="52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比选单位：石家庄承宏工程建设有限公司 </w:t>
      </w:r>
    </w:p>
    <w:p>
      <w:pPr>
        <w:spacing w:line="5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地址：石家庄市和平东路751号东配楼</w:t>
      </w:r>
    </w:p>
    <w:p>
      <w:pPr>
        <w:pStyle w:val="20"/>
        <w:spacing w:line="52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联系人：郑美燕</w:t>
      </w:r>
    </w:p>
    <w:p>
      <w:pPr>
        <w:pStyle w:val="20"/>
        <w:spacing w:line="52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话：0311-80901033</w:t>
      </w:r>
    </w:p>
    <w:p>
      <w:pPr>
        <w:pStyle w:val="17"/>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p>
    <w:p>
      <w:pPr>
        <w:pStyle w:val="17"/>
        <w:spacing w:line="520" w:lineRule="exact"/>
        <w:rPr>
          <w:rFonts w:hint="eastAsia" w:ascii="宋体" w:hAnsi="宋体" w:eastAsia="宋体" w:cs="宋体"/>
          <w:color w:val="auto"/>
          <w:sz w:val="24"/>
          <w:highlight w:val="none"/>
        </w:rPr>
      </w:pPr>
      <w:bookmarkStart w:id="5" w:name="_Toc26879"/>
      <w:r>
        <w:rPr>
          <w:rFonts w:hint="eastAsia" w:ascii="宋体" w:hAnsi="宋体" w:eastAsia="宋体" w:cs="宋体"/>
          <w:color w:val="auto"/>
          <w:sz w:val="24"/>
          <w:highlight w:val="none"/>
        </w:rPr>
        <w:t>附件：确认参加比选回执函</w:t>
      </w:r>
    </w:p>
    <w:p>
      <w:pPr>
        <w:pStyle w:val="6"/>
        <w:jc w:val="center"/>
        <w:rPr>
          <w:rFonts w:hint="eastAsia" w:ascii="宋体" w:hAnsi="宋体" w:eastAsia="宋体" w:cs="宋体"/>
          <w:color w:val="auto"/>
          <w:sz w:val="36"/>
          <w:szCs w:val="36"/>
          <w:highlight w:val="none"/>
        </w:rPr>
      </w:pPr>
    </w:p>
    <w:p>
      <w:pPr>
        <w:pStyle w:val="6"/>
        <w:jc w:val="center"/>
        <w:rPr>
          <w:rFonts w:hint="eastAsia" w:ascii="宋体" w:hAnsi="宋体" w:eastAsia="宋体" w:cs="宋体"/>
          <w:color w:val="auto"/>
          <w:sz w:val="36"/>
          <w:szCs w:val="36"/>
          <w:highlight w:val="none"/>
        </w:rPr>
      </w:pPr>
      <w:bookmarkStart w:id="6" w:name="_Toc25146"/>
      <w:r>
        <w:rPr>
          <w:rFonts w:hint="eastAsia" w:ascii="宋体" w:hAnsi="宋体" w:eastAsia="宋体" w:cs="宋体"/>
          <w:color w:val="auto"/>
          <w:sz w:val="36"/>
          <w:szCs w:val="36"/>
          <w:highlight w:val="none"/>
        </w:rPr>
        <w:t>确认参加比选回执函</w:t>
      </w:r>
      <w:bookmarkEnd w:id="6"/>
    </w:p>
    <w:p>
      <w:pPr>
        <w:rPr>
          <w:rFonts w:hint="eastAsia" w:ascii="宋体" w:hAnsi="宋体" w:eastAsia="宋体" w:cs="宋体"/>
          <w:color w:val="auto"/>
          <w:highlight w:val="none"/>
        </w:rPr>
      </w:pPr>
    </w:p>
    <w:p>
      <w:pPr>
        <w:pStyle w:val="6"/>
        <w:spacing w:line="560" w:lineRule="exact"/>
        <w:jc w:val="left"/>
        <w:rPr>
          <w:rFonts w:hint="eastAsia" w:ascii="宋体" w:hAnsi="宋体" w:eastAsia="宋体" w:cs="宋体"/>
          <w:color w:val="auto"/>
          <w:sz w:val="28"/>
          <w:szCs w:val="28"/>
          <w:highlight w:val="none"/>
        </w:rPr>
      </w:pPr>
      <w:bookmarkStart w:id="7" w:name="_Toc28397"/>
      <w:r>
        <w:rPr>
          <w:rFonts w:hint="eastAsia" w:ascii="宋体" w:hAnsi="宋体" w:eastAsia="宋体" w:cs="宋体"/>
          <w:color w:val="auto"/>
          <w:sz w:val="28"/>
          <w:szCs w:val="28"/>
          <w:highlight w:val="none"/>
        </w:rPr>
        <w:t>石家庄承宏工程建设有限公司：</w:t>
      </w:r>
      <w:bookmarkEnd w:id="7"/>
    </w:p>
    <w:p>
      <w:pPr>
        <w:spacing w:line="560" w:lineRule="exac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我单位</w:t>
      </w:r>
      <w:r>
        <w:rPr>
          <w:rFonts w:hint="eastAsia" w:ascii="宋体" w:hAnsi="宋体" w:eastAsia="宋体" w:cs="宋体"/>
          <w:color w:val="auto"/>
          <w:kern w:val="0"/>
          <w:sz w:val="28"/>
          <w:szCs w:val="28"/>
          <w:highlight w:val="none"/>
          <w:u w:val="single"/>
        </w:rPr>
        <w:t xml:space="preserve">      （单位名称）         </w:t>
      </w:r>
      <w:r>
        <w:rPr>
          <w:rFonts w:hint="eastAsia" w:ascii="宋体" w:hAnsi="宋体" w:eastAsia="宋体" w:cs="宋体"/>
          <w:color w:val="auto"/>
          <w:kern w:val="0"/>
          <w:sz w:val="28"/>
          <w:szCs w:val="28"/>
          <w:highlight w:val="none"/>
        </w:rPr>
        <w:t>已获取贵方</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u w:val="single"/>
          <w:lang w:eastAsia="zh-CN"/>
        </w:rPr>
        <w:t xml:space="preserve">高柱城中村改造项目三期商品区地(3#-2)项目供热工程劳务分包采购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rPr>
        <w:t>公开比选采购文件，经详细研究，我单位决定按时参加该项目比选。</w:t>
      </w:r>
    </w:p>
    <w:p>
      <w:pPr>
        <w:pStyle w:val="12"/>
        <w:spacing w:line="560" w:lineRule="exact"/>
        <w:rPr>
          <w:rFonts w:hint="eastAsia" w:ascii="宋体" w:hAnsi="宋体" w:eastAsia="宋体" w:cs="宋体"/>
          <w:color w:val="auto"/>
          <w:kern w:val="0"/>
          <w:sz w:val="28"/>
          <w:szCs w:val="28"/>
          <w:highlight w:val="none"/>
        </w:rPr>
      </w:pPr>
    </w:p>
    <w:p>
      <w:pPr>
        <w:spacing w:line="560" w:lineRule="exact"/>
        <w:rPr>
          <w:rFonts w:hint="eastAsia" w:ascii="宋体" w:hAnsi="宋体" w:eastAsia="宋体" w:cs="宋体"/>
          <w:color w:val="auto"/>
          <w:kern w:val="0"/>
          <w:sz w:val="28"/>
          <w:szCs w:val="28"/>
          <w:highlight w:val="none"/>
        </w:rPr>
      </w:pPr>
    </w:p>
    <w:p>
      <w:pPr>
        <w:pStyle w:val="12"/>
        <w:rPr>
          <w:rFonts w:hint="eastAsia" w:ascii="宋体" w:hAnsi="宋体" w:eastAsia="宋体" w:cs="宋体"/>
          <w:color w:val="auto"/>
          <w:highlight w:val="none"/>
        </w:rPr>
      </w:pPr>
    </w:p>
    <w:p>
      <w:pPr>
        <w:pStyle w:val="12"/>
        <w:spacing w:line="560" w:lineRule="exact"/>
        <w:rPr>
          <w:rFonts w:hint="eastAsia" w:ascii="宋体" w:hAnsi="宋体" w:eastAsia="宋体" w:cs="宋体"/>
          <w:color w:val="auto"/>
          <w:kern w:val="0"/>
          <w:sz w:val="28"/>
          <w:szCs w:val="28"/>
          <w:highlight w:val="none"/>
        </w:rPr>
      </w:pPr>
    </w:p>
    <w:p>
      <w:pPr>
        <w:spacing w:line="560" w:lineRule="exact"/>
        <w:rPr>
          <w:rFonts w:hint="eastAsia" w:ascii="宋体" w:hAnsi="宋体" w:eastAsia="宋体" w:cs="宋体"/>
          <w:color w:val="auto"/>
          <w:kern w:val="0"/>
          <w:sz w:val="28"/>
          <w:szCs w:val="28"/>
          <w:highlight w:val="none"/>
        </w:rPr>
      </w:pPr>
    </w:p>
    <w:p>
      <w:pPr>
        <w:pStyle w:val="12"/>
        <w:spacing w:line="560" w:lineRule="exact"/>
        <w:rPr>
          <w:rFonts w:hint="eastAsia" w:ascii="宋体" w:hAnsi="宋体" w:eastAsia="宋体" w:cs="宋体"/>
          <w:color w:val="auto"/>
          <w:kern w:val="0"/>
          <w:sz w:val="28"/>
          <w:szCs w:val="28"/>
          <w:highlight w:val="none"/>
        </w:rPr>
      </w:pPr>
    </w:p>
    <w:p>
      <w:pPr>
        <w:spacing w:line="560" w:lineRule="exact"/>
        <w:rPr>
          <w:rFonts w:hint="eastAsia" w:ascii="宋体" w:hAnsi="宋体" w:eastAsia="宋体" w:cs="宋体"/>
          <w:color w:val="auto"/>
          <w:kern w:val="0"/>
          <w:sz w:val="28"/>
          <w:szCs w:val="28"/>
          <w:highlight w:val="none"/>
        </w:rPr>
      </w:pPr>
    </w:p>
    <w:p>
      <w:pPr>
        <w:pStyle w:val="12"/>
        <w:spacing w:line="560" w:lineRule="exact"/>
        <w:rPr>
          <w:rFonts w:hint="eastAsia" w:ascii="宋体" w:hAnsi="宋体" w:eastAsia="宋体" w:cs="宋体"/>
          <w:color w:val="auto"/>
          <w:kern w:val="0"/>
          <w:sz w:val="28"/>
          <w:szCs w:val="28"/>
          <w:highlight w:val="none"/>
        </w:rPr>
      </w:pPr>
    </w:p>
    <w:p>
      <w:pPr>
        <w:rPr>
          <w:rFonts w:hint="eastAsia" w:ascii="宋体" w:hAnsi="宋体" w:eastAsia="宋体" w:cs="宋体"/>
          <w:color w:val="auto"/>
          <w:kern w:val="0"/>
          <w:sz w:val="28"/>
          <w:szCs w:val="28"/>
          <w:highlight w:val="none"/>
        </w:rPr>
      </w:pPr>
    </w:p>
    <w:p>
      <w:pPr>
        <w:pStyle w:val="2"/>
        <w:rPr>
          <w:rFonts w:hint="eastAsia" w:ascii="宋体" w:hAnsi="宋体" w:eastAsia="宋体" w:cs="宋体"/>
          <w:color w:val="auto"/>
          <w:kern w:val="0"/>
          <w:szCs w:val="28"/>
          <w:highlight w:val="none"/>
        </w:rPr>
      </w:pPr>
    </w:p>
    <w:p>
      <w:pPr>
        <w:rPr>
          <w:rFonts w:hint="eastAsia" w:ascii="宋体" w:hAnsi="宋体" w:eastAsia="宋体" w:cs="宋体"/>
          <w:color w:val="auto"/>
          <w:highlight w:val="none"/>
        </w:rPr>
      </w:pPr>
    </w:p>
    <w:p>
      <w:pPr>
        <w:topLinePunct/>
        <w:spacing w:line="560" w:lineRule="exact"/>
        <w:ind w:right="-307" w:rightChars="-146" w:firstLine="3640" w:firstLineChars="13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 xml:space="preserve"> </w:t>
      </w:r>
      <w:r>
        <w:rPr>
          <w:rFonts w:hint="eastAsia" w:ascii="宋体" w:hAnsi="宋体" w:eastAsia="宋体" w:cs="宋体"/>
          <w:color w:val="auto"/>
          <w:sz w:val="28"/>
          <w:szCs w:val="28"/>
          <w:highlight w:val="none"/>
        </w:rPr>
        <w:t>响应单位：</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pPr>
        <w:widowControl/>
        <w:adjustRightInd w:val="0"/>
        <w:snapToGrid w:val="0"/>
        <w:spacing w:line="560" w:lineRule="exact"/>
        <w:ind w:firstLine="3640" w:firstLineChars="1300"/>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rPr>
        <w:t>（签字或印鉴）</w:t>
      </w:r>
    </w:p>
    <w:p>
      <w:pPr>
        <w:widowControl/>
        <w:adjustRightInd w:val="0"/>
        <w:snapToGrid w:val="0"/>
        <w:spacing w:line="560" w:lineRule="exac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r>
        <w:rPr>
          <w:rFonts w:hint="eastAsia" w:ascii="宋体" w:hAnsi="宋体" w:eastAsia="宋体" w:cs="宋体"/>
          <w:b/>
          <w:bCs/>
          <w:color w:val="auto"/>
          <w:kern w:val="0"/>
          <w:sz w:val="28"/>
          <w:szCs w:val="28"/>
          <w:highlight w:val="none"/>
        </w:rPr>
        <w:t xml:space="preserve">                                      </w:t>
      </w:r>
      <w:r>
        <w:rPr>
          <w:rFonts w:hint="eastAsia" w:ascii="宋体" w:hAnsi="宋体" w:eastAsia="宋体" w:cs="宋体"/>
          <w:color w:val="auto"/>
          <w:kern w:val="0"/>
          <w:sz w:val="28"/>
          <w:szCs w:val="28"/>
          <w:highlight w:val="none"/>
        </w:rPr>
        <w:t xml:space="preserve">  年   月   日</w:t>
      </w:r>
    </w:p>
    <w:p>
      <w:pPr>
        <w:pStyle w:val="12"/>
        <w:spacing w:line="560" w:lineRule="exact"/>
        <w:rPr>
          <w:rFonts w:hint="eastAsia" w:ascii="宋体" w:hAnsi="宋体" w:eastAsia="宋体" w:cs="宋体"/>
          <w:color w:val="auto"/>
          <w:highlight w:val="none"/>
        </w:rPr>
      </w:pPr>
    </w:p>
    <w:p>
      <w:pPr>
        <w:pStyle w:val="12"/>
        <w:ind w:firstLine="48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6"/>
        <w:jc w:val="center"/>
        <w:rPr>
          <w:rFonts w:hint="eastAsia" w:ascii="宋体" w:hAnsi="宋体" w:eastAsia="宋体" w:cs="宋体"/>
          <w:color w:val="auto"/>
          <w:sz w:val="36"/>
          <w:szCs w:val="36"/>
          <w:highlight w:val="none"/>
        </w:rPr>
      </w:pPr>
      <w:bookmarkStart w:id="8" w:name="_Toc28349"/>
      <w:r>
        <w:rPr>
          <w:rFonts w:hint="eastAsia" w:ascii="宋体" w:hAnsi="宋体" w:eastAsia="宋体" w:cs="宋体"/>
          <w:color w:val="auto"/>
          <w:sz w:val="36"/>
          <w:szCs w:val="36"/>
          <w:highlight w:val="none"/>
        </w:rPr>
        <w:t>第二章 供应商须知</w:t>
      </w:r>
      <w:bookmarkEnd w:id="5"/>
      <w:bookmarkEnd w:id="8"/>
      <w:bookmarkStart w:id="9" w:name="_Toc17889"/>
    </w:p>
    <w:bookmarkEnd w:id="9"/>
    <w:p>
      <w:pPr>
        <w:spacing w:line="360" w:lineRule="auto"/>
        <w:rPr>
          <w:rFonts w:hint="eastAsia" w:ascii="宋体" w:hAnsi="宋体" w:eastAsia="宋体" w:cs="宋体"/>
          <w:b/>
          <w:bCs/>
          <w:color w:val="auto"/>
          <w:sz w:val="24"/>
          <w:highlight w:val="none"/>
        </w:rPr>
      </w:pPr>
      <w:bookmarkStart w:id="10" w:name="_Toc2285"/>
      <w:bookmarkStart w:id="11" w:name="_Toc29085"/>
      <w:r>
        <w:rPr>
          <w:rFonts w:hint="eastAsia" w:ascii="宋体" w:hAnsi="宋体" w:eastAsia="宋体" w:cs="宋体"/>
          <w:b/>
          <w:bCs/>
          <w:color w:val="auto"/>
          <w:sz w:val="24"/>
          <w:highlight w:val="none"/>
        </w:rPr>
        <w:t>1.对供应商的资格要求</w:t>
      </w:r>
      <w:bookmarkEnd w:id="10"/>
      <w:bookmarkEnd w:id="11"/>
    </w:p>
    <w:p>
      <w:pPr>
        <w:spacing w:line="360" w:lineRule="auto"/>
        <w:ind w:firstLine="240" w:firstLineChars="1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详见第一章公开比选采购公告六、供应商资格要求。</w:t>
      </w: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2.供应商不得存在的情形</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（1）与本项目其他供应商的单位负责人为同一人。</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（2）与本项目其他供应商存在直接控股关系。</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（3）与本项目其他供应商存在管理关系。</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（4）近三年内在经营活动中存在以下严重不良情形：</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①被本项目所在地省级以上行业主管部门依法暂停、取消投标或禁止参加采购活动的。</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②处于被责令停产停业、暂扣或者吊销执照、暂扣或者吊销许可证、吊销资质证书状态。</w:t>
      </w:r>
    </w:p>
    <w:p>
      <w:pPr>
        <w:spacing w:line="480" w:lineRule="exact"/>
        <w:ind w:firstLine="218" w:firstLineChars="91"/>
        <w:rPr>
          <w:rFonts w:hint="eastAsia" w:ascii="宋体" w:hAnsi="宋体" w:eastAsia="宋体" w:cs="宋体"/>
          <w:color w:val="auto"/>
          <w:sz w:val="24"/>
          <w:highlight w:val="none"/>
        </w:rPr>
      </w:pPr>
      <w:r>
        <w:rPr>
          <w:rFonts w:hint="eastAsia" w:ascii="宋体" w:hAnsi="宋体" w:eastAsia="宋体" w:cs="宋体"/>
          <w:color w:val="auto"/>
          <w:sz w:val="24"/>
          <w:highlight w:val="none"/>
        </w:rPr>
        <w:t>③进入清算程序，或被宣告破产，或其他丧失履约能力情形的。</w:t>
      </w:r>
    </w:p>
    <w:p>
      <w:pPr>
        <w:spacing w:before="110" w:line="500" w:lineRule="exact"/>
        <w:ind w:firstLine="218" w:firstLineChars="91"/>
        <w:jc w:val="left"/>
        <w:rPr>
          <w:rFonts w:hint="eastAsia" w:ascii="宋体" w:hAnsi="宋体" w:eastAsia="宋体" w:cs="宋体"/>
          <w:color w:val="auto"/>
          <w:spacing w:val="2"/>
          <w:sz w:val="24"/>
          <w:highlight w:val="none"/>
        </w:rPr>
      </w:pPr>
      <w:r>
        <w:rPr>
          <w:rFonts w:hint="eastAsia" w:ascii="宋体" w:hAnsi="宋体" w:eastAsia="宋体" w:cs="宋体"/>
          <w:color w:val="auto"/>
          <w:sz w:val="24"/>
          <w:highlight w:val="none"/>
        </w:rPr>
        <w:t xml:space="preserve">④根据公司供应商管理要求，被禁止参与采购活动且处于有效期内的。 </w:t>
      </w: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3.本次交易一般规则  </w:t>
      </w:r>
    </w:p>
    <w:tbl>
      <w:tblPr>
        <w:tblStyle w:val="22"/>
        <w:tblW w:w="9024" w:type="dxa"/>
        <w:tblInd w:w="91" w:type="dxa"/>
        <w:tblLayout w:type="autofit"/>
        <w:tblCellMar>
          <w:top w:w="0" w:type="dxa"/>
          <w:left w:w="108" w:type="dxa"/>
          <w:bottom w:w="0" w:type="dxa"/>
          <w:right w:w="108" w:type="dxa"/>
        </w:tblCellMar>
      </w:tblPr>
      <w:tblGrid>
        <w:gridCol w:w="1602"/>
        <w:gridCol w:w="1602"/>
        <w:gridCol w:w="1602"/>
        <w:gridCol w:w="4218"/>
      </w:tblGrid>
      <w:tr>
        <w:tblPrEx>
          <w:tblCellMar>
            <w:top w:w="0" w:type="dxa"/>
            <w:left w:w="108" w:type="dxa"/>
            <w:bottom w:w="0" w:type="dxa"/>
            <w:right w:w="108" w:type="dxa"/>
          </w:tblCellMar>
        </w:tblPrEx>
        <w:trPr>
          <w:trHeight w:val="285" w:hRule="atLeast"/>
        </w:trPr>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阶段</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条款</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项 目</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规则</w:t>
            </w:r>
          </w:p>
        </w:tc>
      </w:tr>
      <w:tr>
        <w:tblPrEx>
          <w:tblCellMar>
            <w:top w:w="0" w:type="dxa"/>
            <w:left w:w="108" w:type="dxa"/>
            <w:bottom w:w="0" w:type="dxa"/>
            <w:right w:w="108" w:type="dxa"/>
          </w:tblCellMar>
        </w:tblPrEx>
        <w:trPr>
          <w:trHeight w:val="385" w:hRule="atLeast"/>
        </w:trPr>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准备及其</w:t>
            </w:r>
          </w:p>
          <w:p>
            <w:pPr>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响应</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踏勘现场</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不组织</w:t>
            </w:r>
          </w:p>
        </w:tc>
      </w:tr>
      <w:tr>
        <w:tblPrEx>
          <w:tblCellMar>
            <w:top w:w="0" w:type="dxa"/>
            <w:left w:w="108" w:type="dxa"/>
            <w:bottom w:w="0" w:type="dxa"/>
            <w:right w:w="108" w:type="dxa"/>
          </w:tblCellMar>
        </w:tblPrEx>
        <w:trPr>
          <w:trHeight w:val="387"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3.2</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预备会</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不组织</w:t>
            </w:r>
          </w:p>
        </w:tc>
      </w:tr>
      <w:tr>
        <w:tblPrEx>
          <w:tblCellMar>
            <w:top w:w="0" w:type="dxa"/>
            <w:left w:w="108" w:type="dxa"/>
            <w:bottom w:w="0" w:type="dxa"/>
            <w:right w:w="108" w:type="dxa"/>
          </w:tblCellMar>
        </w:tblPrEx>
        <w:trPr>
          <w:trHeight w:val="35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3.3</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分包</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不允许</w:t>
            </w:r>
          </w:p>
        </w:tc>
      </w:tr>
      <w:tr>
        <w:tblPrEx>
          <w:tblCellMar>
            <w:top w:w="0" w:type="dxa"/>
            <w:left w:w="108" w:type="dxa"/>
            <w:bottom w:w="0" w:type="dxa"/>
            <w:right w:w="108" w:type="dxa"/>
          </w:tblCellMar>
        </w:tblPrEx>
        <w:trPr>
          <w:trHeight w:val="9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3.4</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比选截止</w:t>
            </w:r>
          </w:p>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时间</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见采购公告</w:t>
            </w:r>
          </w:p>
        </w:tc>
      </w:tr>
      <w:tr>
        <w:tblPrEx>
          <w:tblCellMar>
            <w:top w:w="0" w:type="dxa"/>
            <w:left w:w="108" w:type="dxa"/>
            <w:bottom w:w="0" w:type="dxa"/>
            <w:right w:w="108" w:type="dxa"/>
          </w:tblCellMar>
        </w:tblPrEx>
        <w:trPr>
          <w:trHeight w:val="465"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3.5</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最高限价</w:t>
            </w:r>
          </w:p>
        </w:tc>
        <w:tc>
          <w:tcPr>
            <w:tcW w:w="421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highlight w:val="none"/>
                <w:lang w:val="en-US" w:eastAsia="zh-CN"/>
              </w:rPr>
            </w:pPr>
            <w:bookmarkStart w:id="12" w:name="OLE_LINK10"/>
            <w:bookmarkStart w:id="13" w:name="OLE_LINK9"/>
            <w:r>
              <w:rPr>
                <w:rFonts w:hint="eastAsia" w:ascii="宋体" w:hAnsi="宋体" w:eastAsia="宋体" w:cs="宋体"/>
                <w:b/>
                <w:bCs/>
                <w:color w:val="auto"/>
                <w:sz w:val="24"/>
                <w:highlight w:val="none"/>
              </w:rPr>
              <w:t>4154</w:t>
            </w:r>
            <w:r>
              <w:rPr>
                <w:rFonts w:hint="eastAsia" w:ascii="宋体" w:hAnsi="宋体" w:eastAsia="宋体" w:cs="宋体"/>
                <w:b/>
                <w:bCs/>
                <w:color w:val="auto"/>
                <w:sz w:val="24"/>
                <w:highlight w:val="none"/>
                <w:lang w:val="en-US" w:eastAsia="zh-CN"/>
              </w:rPr>
              <w:t>00.00</w:t>
            </w:r>
            <w:r>
              <w:rPr>
                <w:rFonts w:hint="eastAsia" w:ascii="宋体" w:hAnsi="宋体" w:eastAsia="宋体" w:cs="宋体"/>
                <w:b/>
                <w:bCs/>
                <w:color w:val="auto"/>
                <w:sz w:val="24"/>
                <w:highlight w:val="none"/>
              </w:rPr>
              <w:t>元（含</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税）</w:t>
            </w:r>
            <w:bookmarkEnd w:id="12"/>
            <w:bookmarkEnd w:id="13"/>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3.6</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360" w:lineRule="atLeast"/>
              <w:ind w:right="-108"/>
              <w:jc w:val="center"/>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投标保证金</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3.7</w:t>
            </w: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响应文件</w:t>
            </w:r>
          </w:p>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份数</w:t>
            </w:r>
          </w:p>
        </w:tc>
        <w:tc>
          <w:tcPr>
            <w:tcW w:w="421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纸质文件：1份，</w:t>
            </w:r>
            <w:r>
              <w:rPr>
                <w:rFonts w:hint="eastAsia" w:ascii="宋体" w:hAnsi="宋体" w:eastAsia="宋体" w:cs="宋体"/>
                <w:b/>
                <w:bCs/>
                <w:color w:val="auto"/>
                <w:kern w:val="0"/>
                <w:sz w:val="24"/>
                <w:highlight w:val="none"/>
                <w:lang w:bidi="ar"/>
              </w:rPr>
              <w:t>装订成册</w:t>
            </w:r>
          </w:p>
          <w:p>
            <w:pPr>
              <w:widowControl/>
              <w:jc w:val="left"/>
              <w:textAlignment w:val="top"/>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电子文件：U盘一份（含盖章PDF版扫描件及</w:t>
            </w:r>
            <w:r>
              <w:rPr>
                <w:rFonts w:hint="eastAsia" w:ascii="宋体" w:hAnsi="宋体" w:eastAsia="宋体" w:cs="宋体"/>
                <w:color w:val="auto"/>
                <w:sz w:val="24"/>
                <w:highlight w:val="none"/>
              </w:rPr>
              <w:t>劳务清单报价表excel版</w:t>
            </w:r>
            <w:r>
              <w:rPr>
                <w:rFonts w:hint="eastAsia" w:ascii="宋体" w:hAnsi="宋体" w:eastAsia="宋体" w:cs="宋体"/>
                <w:color w:val="auto"/>
                <w:kern w:val="0"/>
                <w:sz w:val="24"/>
                <w:highlight w:val="none"/>
                <w:lang w:bidi="ar"/>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3.8</w:t>
            </w:r>
          </w:p>
        </w:tc>
        <w:tc>
          <w:tcPr>
            <w:tcW w:w="160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421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60天</w:t>
            </w: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3.9</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响应文件的密封和标记</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纸质响应文件及电子文件装入一个封袋内；在密封处加盖公章，封套应注明：</w:t>
            </w:r>
          </w:p>
          <w:p>
            <w:pPr>
              <w:widowControl/>
              <w:jc w:val="left"/>
              <w:textAlignment w:val="top"/>
              <w:rPr>
                <w:rFonts w:hint="eastAsia" w:ascii="宋体" w:hAnsi="宋体" w:eastAsia="宋体" w:cs="宋体"/>
                <w:color w:val="auto"/>
                <w:kern w:val="0"/>
                <w:sz w:val="24"/>
                <w:highlight w:val="none"/>
                <w:u w:val="single"/>
                <w:lang w:bidi="ar"/>
              </w:rPr>
            </w:pPr>
            <w:r>
              <w:rPr>
                <w:rFonts w:hint="eastAsia" w:ascii="宋体" w:hAnsi="宋体" w:eastAsia="宋体" w:cs="宋体"/>
                <w:color w:val="auto"/>
                <w:kern w:val="0"/>
                <w:sz w:val="24"/>
                <w:highlight w:val="none"/>
                <w:lang w:bidi="ar"/>
              </w:rPr>
              <w:t>项目名称：</w:t>
            </w:r>
            <w:r>
              <w:rPr>
                <w:rFonts w:hint="eastAsia" w:ascii="宋体" w:hAnsi="宋体" w:eastAsia="宋体" w:cs="宋体"/>
                <w:color w:val="auto"/>
                <w:kern w:val="0"/>
                <w:sz w:val="24"/>
                <w:highlight w:val="none"/>
                <w:u w:val="single"/>
                <w:lang w:bidi="ar"/>
              </w:rPr>
              <w:t xml:space="preserve">                 </w:t>
            </w:r>
          </w:p>
          <w:p>
            <w:pPr>
              <w:widowControl/>
              <w:jc w:val="left"/>
              <w:textAlignment w:val="top"/>
              <w:rPr>
                <w:rFonts w:hint="eastAsia" w:ascii="宋体" w:hAnsi="宋体" w:eastAsia="宋体" w:cs="宋体"/>
                <w:color w:val="auto"/>
                <w:kern w:val="0"/>
                <w:sz w:val="24"/>
                <w:highlight w:val="none"/>
                <w:u w:val="single"/>
                <w:lang w:bidi="ar"/>
              </w:rPr>
            </w:pPr>
            <w:r>
              <w:rPr>
                <w:rFonts w:hint="eastAsia" w:ascii="宋体" w:hAnsi="宋体" w:eastAsia="宋体" w:cs="宋体"/>
                <w:color w:val="auto"/>
                <w:kern w:val="0"/>
                <w:sz w:val="24"/>
                <w:highlight w:val="none"/>
                <w:lang w:bidi="ar"/>
              </w:rPr>
              <w:t>供应商名称：</w:t>
            </w:r>
            <w:r>
              <w:rPr>
                <w:rFonts w:hint="eastAsia" w:ascii="宋体" w:hAnsi="宋体" w:eastAsia="宋体" w:cs="宋体"/>
                <w:color w:val="auto"/>
                <w:kern w:val="0"/>
                <w:sz w:val="24"/>
                <w:highlight w:val="none"/>
                <w:u w:val="single"/>
                <w:lang w:bidi="ar"/>
              </w:rPr>
              <w:t xml:space="preserve">          </w:t>
            </w:r>
          </w:p>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响应文件在</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年</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月</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日</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时</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分前不得开启</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3.10</w:t>
            </w:r>
          </w:p>
        </w:tc>
        <w:tc>
          <w:tcPr>
            <w:tcW w:w="16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响应文件</w:t>
            </w:r>
          </w:p>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提交</w:t>
            </w:r>
          </w:p>
        </w:tc>
        <w:tc>
          <w:tcPr>
            <w:tcW w:w="4218" w:type="dxa"/>
            <w:vMerge w:val="restart"/>
            <w:tcBorders>
              <w:top w:val="single" w:color="000000" w:sz="4" w:space="0"/>
              <w:left w:val="single" w:color="000000" w:sz="4" w:space="0"/>
              <w:right w:val="single" w:color="000000" w:sz="4" w:space="0"/>
            </w:tcBorders>
            <w:vAlign w:val="center"/>
          </w:tcPr>
          <w:p>
            <w:pP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本项目在线下提交纸质响应文件；响应文件送达地址：石家庄市和平东路751号石家庄东站西配楼2楼西会议室。</w:t>
            </w:r>
          </w:p>
          <w:p>
            <w:pPr>
              <w:pStyle w:val="8"/>
              <w:ind w:left="0" w:right="23"/>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bidi="ar"/>
              </w:rPr>
              <w:t>响应单位的法定代表人或其委托代理人在递交响应文件时应当单独递交一份法定代表人身份证明书原件（法定代表人参加开标会）或法定代表人授权委托书原件（委托代理人参加开标会），并出示本人身份证原件</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960" w:hRule="exact"/>
        </w:trPr>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文件开启及评审</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3.11</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响应文件</w:t>
            </w:r>
          </w:p>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开启会议</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会议时间：同</w:t>
            </w:r>
            <w:r>
              <w:rPr>
                <w:rFonts w:hint="eastAsia" w:ascii="宋体" w:hAnsi="宋体" w:eastAsia="宋体" w:cs="宋体"/>
                <w:color w:val="auto"/>
                <w:sz w:val="24"/>
                <w:highlight w:val="none"/>
              </w:rPr>
              <w:t>响应文件递交截止时间</w:t>
            </w:r>
          </w:p>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会议地点：同</w:t>
            </w:r>
            <w:r>
              <w:rPr>
                <w:rFonts w:hint="eastAsia" w:ascii="宋体" w:hAnsi="宋体" w:eastAsia="宋体" w:cs="宋体"/>
                <w:color w:val="auto"/>
                <w:sz w:val="24"/>
                <w:highlight w:val="none"/>
              </w:rPr>
              <w:t>纸质响应文件递交地址</w:t>
            </w:r>
          </w:p>
        </w:tc>
      </w:tr>
      <w:tr>
        <w:tblPrEx>
          <w:tblCellMar>
            <w:top w:w="0" w:type="dxa"/>
            <w:left w:w="108" w:type="dxa"/>
            <w:bottom w:w="0" w:type="dxa"/>
            <w:right w:w="108" w:type="dxa"/>
          </w:tblCellMar>
        </w:tblPrEx>
        <w:trPr>
          <w:trHeight w:val="1339" w:hRule="exac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3.12</w:t>
            </w:r>
          </w:p>
        </w:tc>
        <w:tc>
          <w:tcPr>
            <w:tcW w:w="1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开启文件前的密封检查</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纸质响应文件密封情况检查顺序：</w:t>
            </w:r>
            <w:r>
              <w:rPr>
                <w:rFonts w:hint="eastAsia" w:ascii="宋体" w:hAnsi="宋体" w:eastAsia="宋体" w:cs="宋体"/>
                <w:color w:val="auto"/>
                <w:kern w:val="0"/>
                <w:sz w:val="24"/>
                <w:highlight w:val="none"/>
                <w:u w:val="single"/>
                <w:lang w:bidi="ar"/>
              </w:rPr>
              <w:t xml:space="preserve">按响应单位现场签到顺序 </w:t>
            </w:r>
          </w:p>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文件开启顺序：</w:t>
            </w:r>
            <w:r>
              <w:rPr>
                <w:rFonts w:hint="eastAsia" w:ascii="宋体" w:hAnsi="宋体" w:eastAsia="宋体" w:cs="宋体"/>
                <w:color w:val="auto"/>
                <w:kern w:val="0"/>
                <w:sz w:val="24"/>
                <w:highlight w:val="none"/>
                <w:u w:val="single"/>
                <w:lang w:bidi="ar"/>
              </w:rPr>
              <w:t xml:space="preserve">按响应单位现场签到顺序 </w:t>
            </w:r>
          </w:p>
        </w:tc>
      </w:tr>
      <w:tr>
        <w:tblPrEx>
          <w:tblCellMar>
            <w:top w:w="0" w:type="dxa"/>
            <w:left w:w="108" w:type="dxa"/>
            <w:bottom w:w="0" w:type="dxa"/>
            <w:right w:w="108" w:type="dxa"/>
          </w:tblCellMar>
        </w:tblPrEx>
        <w:trPr>
          <w:trHeight w:val="792" w:hRule="exac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3.13</w:t>
            </w:r>
          </w:p>
        </w:tc>
        <w:tc>
          <w:tcPr>
            <w:tcW w:w="16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评审小组</w:t>
            </w:r>
          </w:p>
        </w:tc>
        <w:tc>
          <w:tcPr>
            <w:tcW w:w="4218" w:type="dxa"/>
            <w:tcBorders>
              <w:top w:val="single" w:color="000000" w:sz="4" w:space="0"/>
              <w:left w:val="single" w:color="000000" w:sz="4" w:space="0"/>
              <w:bottom w:val="single" w:color="000000" w:sz="4" w:space="0"/>
              <w:right w:val="single" w:color="000000" w:sz="4" w:space="0"/>
            </w:tcBorders>
            <w:vAlign w:val="center"/>
          </w:tcPr>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组建：评审小组构成：由</w:t>
            </w:r>
            <w:r>
              <w:rPr>
                <w:rFonts w:hint="eastAsia" w:ascii="宋体" w:hAnsi="宋体" w:eastAsia="宋体" w:cs="宋体"/>
                <w:color w:val="auto"/>
                <w:kern w:val="0"/>
                <w:sz w:val="24"/>
                <w:highlight w:val="none"/>
                <w:u w:val="single"/>
                <w:lang w:bidi="ar"/>
              </w:rPr>
              <w:t xml:space="preserve"> 3 </w:t>
            </w:r>
            <w:r>
              <w:rPr>
                <w:rFonts w:hint="eastAsia" w:ascii="宋体" w:hAnsi="宋体" w:eastAsia="宋体" w:cs="宋体"/>
                <w:color w:val="auto"/>
                <w:kern w:val="0"/>
                <w:sz w:val="24"/>
                <w:highlight w:val="none"/>
                <w:lang w:bidi="ar"/>
              </w:rPr>
              <w:t>人组成</w:t>
            </w:r>
          </w:p>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评审专家确定方式：随机抽取</w:t>
            </w:r>
          </w:p>
        </w:tc>
      </w:tr>
      <w:tr>
        <w:tblPrEx>
          <w:tblCellMar>
            <w:top w:w="0" w:type="dxa"/>
            <w:left w:w="108" w:type="dxa"/>
            <w:bottom w:w="0" w:type="dxa"/>
            <w:right w:w="108" w:type="dxa"/>
          </w:tblCellMar>
        </w:tblPrEx>
        <w:trPr>
          <w:trHeight w:val="454" w:hRule="exact"/>
        </w:trPr>
        <w:tc>
          <w:tcPr>
            <w:tcW w:w="160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确定成交人</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3.14</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评审办法</w:t>
            </w:r>
          </w:p>
        </w:tc>
        <w:tc>
          <w:tcPr>
            <w:tcW w:w="4218" w:type="dxa"/>
            <w:tcBorders>
              <w:top w:val="single" w:color="000000" w:sz="4" w:space="0"/>
              <w:left w:val="single" w:color="auto" w:sz="4" w:space="0"/>
              <w:bottom w:val="single" w:color="000000" w:sz="4" w:space="0"/>
              <w:right w:val="single" w:color="000000" w:sz="4" w:space="0"/>
            </w:tcBorders>
            <w:vAlign w:val="center"/>
          </w:tcPr>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见第四章评审办法有关条款</w:t>
            </w:r>
          </w:p>
        </w:tc>
      </w:tr>
      <w:tr>
        <w:tblPrEx>
          <w:tblCellMar>
            <w:top w:w="0" w:type="dxa"/>
            <w:left w:w="108" w:type="dxa"/>
            <w:bottom w:w="0" w:type="dxa"/>
            <w:right w:w="108" w:type="dxa"/>
          </w:tblCellMar>
        </w:tblPrEx>
        <w:trPr>
          <w:trHeight w:val="781" w:hRule="exact"/>
        </w:trPr>
        <w:tc>
          <w:tcPr>
            <w:tcW w:w="1602" w:type="dxa"/>
            <w:vMerge w:val="continue"/>
            <w:tcBorders>
              <w:left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4"/>
                <w:highlight w:val="none"/>
                <w:lang w:bidi="ar"/>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lang w:bidi="ar"/>
              </w:rPr>
              <w:t>3.15</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lang w:bidi="ar"/>
              </w:rPr>
              <w:t>中选人公示</w:t>
            </w:r>
          </w:p>
        </w:tc>
        <w:tc>
          <w:tcPr>
            <w:tcW w:w="4218"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top"/>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lang w:bidi="ar"/>
              </w:rPr>
              <w:t>公示媒介：石家庄市供热管理集团有限公司官网https://www.sjzsgrjt.com/</w:t>
            </w:r>
          </w:p>
        </w:tc>
      </w:tr>
      <w:tr>
        <w:tblPrEx>
          <w:tblCellMar>
            <w:top w:w="0" w:type="dxa"/>
            <w:left w:w="108" w:type="dxa"/>
            <w:bottom w:w="0" w:type="dxa"/>
            <w:right w:w="108" w:type="dxa"/>
          </w:tblCellMar>
        </w:tblPrEx>
        <w:trPr>
          <w:trHeight w:val="467" w:hRule="atLeast"/>
        </w:trPr>
        <w:tc>
          <w:tcPr>
            <w:tcW w:w="1602" w:type="dxa"/>
            <w:vMerge w:val="continue"/>
            <w:tcBorders>
              <w:top w:val="single" w:color="auto" w:sz="4" w:space="0"/>
              <w:left w:val="single" w:color="auto" w:sz="4" w:space="0"/>
              <w:bottom w:val="single" w:color="auto" w:sz="4" w:space="0"/>
              <w:right w:val="single" w:color="auto" w:sz="4" w:space="0"/>
            </w:tcBorders>
            <w:vAlign w:val="center"/>
          </w:tcPr>
          <w:p>
            <w:pPr>
              <w:widowControl/>
              <w:textAlignment w:val="top"/>
              <w:rPr>
                <w:rFonts w:hint="eastAsia" w:ascii="宋体" w:hAnsi="宋体" w:eastAsia="宋体" w:cs="宋体"/>
                <w:color w:val="auto"/>
                <w:highlight w:val="none"/>
              </w:rPr>
            </w:pPr>
          </w:p>
        </w:tc>
        <w:tc>
          <w:tcPr>
            <w:tcW w:w="1602" w:type="dxa"/>
            <w:tcBorders>
              <w:top w:val="single" w:color="auto" w:sz="4" w:space="0"/>
              <w:left w:val="single" w:color="auto" w:sz="4" w:space="0"/>
              <w:bottom w:val="single" w:color="auto" w:sz="4" w:space="0"/>
              <w:right w:val="single" w:color="auto" w:sz="4" w:space="0"/>
            </w:tcBorders>
            <w:vAlign w:val="center"/>
          </w:tcPr>
          <w:p>
            <w:pPr>
              <w:widowControl/>
              <w:tabs>
                <w:tab w:val="center" w:pos="753"/>
                <w:tab w:val="right" w:pos="1386"/>
              </w:tabs>
              <w:jc w:val="center"/>
              <w:textAlignment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bidi="ar"/>
              </w:rPr>
              <w:t>3.1</w:t>
            </w:r>
            <w:r>
              <w:rPr>
                <w:rFonts w:hint="eastAsia" w:ascii="宋体" w:hAnsi="宋体" w:eastAsia="宋体" w:cs="宋体"/>
                <w:color w:val="auto"/>
                <w:kern w:val="0"/>
                <w:sz w:val="24"/>
                <w:highlight w:val="none"/>
                <w:lang w:val="en-US" w:eastAsia="zh-CN" w:bidi="ar"/>
              </w:rPr>
              <w:t>6</w:t>
            </w:r>
          </w:p>
        </w:tc>
        <w:tc>
          <w:tcPr>
            <w:tcW w:w="160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成交办法</w:t>
            </w:r>
          </w:p>
        </w:tc>
        <w:tc>
          <w:tcPr>
            <w:tcW w:w="4218" w:type="dxa"/>
            <w:tcBorders>
              <w:top w:val="single" w:color="000000" w:sz="4" w:space="0"/>
              <w:left w:val="single" w:color="auto" w:sz="4" w:space="0"/>
              <w:bottom w:val="single" w:color="auto" w:sz="4" w:space="0"/>
              <w:right w:val="single" w:color="auto" w:sz="4" w:space="0"/>
            </w:tcBorders>
            <w:vAlign w:val="center"/>
          </w:tcPr>
          <w:p>
            <w:pPr>
              <w:widowControl/>
              <w:textAlignment w:val="top"/>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见第三章采购方法有关条款</w:t>
            </w:r>
          </w:p>
        </w:tc>
      </w:tr>
    </w:tbl>
    <w:p>
      <w:pPr>
        <w:spacing w:line="44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4.发生下列情况之一者，视为无效响应行为</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(1)响应文件未密封或未按规定签字、盖章；</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(2)响应文件未按规定格式填写，或内容与比选采购文件严重背离的；</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(3)响应文件有两个以上报价的（比选采购文件允许提交备选方案的除外）；</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(4)质量标准不符合比选采购文件要求的；</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(5)工期不符合比选采购文件要求的；</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(6)报价超过最高限价的；</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(7)供应商不符合国家或者比选采购文件规定的资格条件；</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(8)响应文件没有对比选采购文件的实质性要求和条件作出响应；</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(9)法律法规规定的其他不得作为响应单位的情形。</w:t>
      </w:r>
    </w:p>
    <w:p>
      <w:pPr>
        <w:spacing w:line="440" w:lineRule="exact"/>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5.响应文件要求     </w:t>
      </w:r>
      <w:r>
        <w:rPr>
          <w:rFonts w:hint="eastAsia" w:ascii="宋体" w:hAnsi="宋体" w:eastAsia="宋体" w:cs="宋体"/>
          <w:color w:val="auto"/>
          <w:sz w:val="24"/>
          <w:highlight w:val="none"/>
        </w:rPr>
        <w:t xml:space="preserve">                                                 </w:t>
      </w:r>
    </w:p>
    <w:p>
      <w:pPr>
        <w:spacing w:line="440" w:lineRule="exact"/>
        <w:ind w:firstLine="240" w:firstLineChars="100"/>
        <w:jc w:val="left"/>
        <w:rPr>
          <w:rFonts w:hint="eastAsia" w:ascii="宋体" w:hAnsi="宋体" w:eastAsia="宋体" w:cs="宋体"/>
          <w:color w:val="auto"/>
          <w:sz w:val="24"/>
          <w:highlight w:val="none"/>
        </w:rPr>
      </w:pPr>
      <w:bookmarkStart w:id="14" w:name="_Toc9318"/>
      <w:r>
        <w:rPr>
          <w:rFonts w:hint="eastAsia" w:ascii="宋体" w:hAnsi="宋体" w:eastAsia="宋体" w:cs="宋体"/>
          <w:color w:val="auto"/>
          <w:sz w:val="24"/>
          <w:highlight w:val="none"/>
        </w:rPr>
        <w:t>响应文件包括下列内容</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施工劳务企业资质证书；</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安全生产许可证；</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开户许可证或基本存款账户信息证明；</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法定代表人身份证明及法定代表人授权委托书；</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供应商基本情况表；</w:t>
      </w:r>
    </w:p>
    <w:p>
      <w:pPr>
        <w:numPr>
          <w:ilvl w:val="0"/>
          <w:numId w:val="2"/>
        </w:numPr>
        <w:spacing w:line="440" w:lineRule="exact"/>
        <w:ind w:left="0"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公司近三年业绩；</w:t>
      </w:r>
    </w:p>
    <w:p>
      <w:pPr>
        <w:numPr>
          <w:ilvl w:val="0"/>
          <w:numId w:val="2"/>
        </w:numPr>
        <w:spacing w:line="440" w:lineRule="exact"/>
        <w:ind w:left="10" w:firstLine="410"/>
        <w:rPr>
          <w:rFonts w:hint="eastAsia" w:ascii="宋体" w:hAnsi="宋体" w:eastAsia="宋体" w:cs="宋体"/>
          <w:color w:val="auto"/>
          <w:sz w:val="24"/>
          <w:highlight w:val="none"/>
        </w:rPr>
      </w:pPr>
      <w:r>
        <w:rPr>
          <w:rFonts w:hint="eastAsia" w:ascii="宋体" w:hAnsi="宋体" w:eastAsia="宋体" w:cs="宋体"/>
          <w:color w:val="auto"/>
          <w:sz w:val="24"/>
          <w:highlight w:val="none"/>
        </w:rPr>
        <w:t>承诺书；</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劳务清单报价表；</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技术方案；</w:t>
      </w:r>
    </w:p>
    <w:p>
      <w:pPr>
        <w:numPr>
          <w:ilvl w:val="0"/>
          <w:numId w:val="2"/>
        </w:numPr>
        <w:spacing w:line="440" w:lineRule="exact"/>
        <w:ind w:left="430" w:hanging="10"/>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其他资料。</w:t>
      </w:r>
    </w:p>
    <w:p>
      <w:pPr>
        <w:rPr>
          <w:rFonts w:hint="eastAsia" w:ascii="宋体" w:hAnsi="宋体" w:eastAsia="宋体" w:cs="宋体"/>
          <w:color w:val="auto"/>
          <w:highlight w:val="none"/>
        </w:rPr>
      </w:pPr>
    </w:p>
    <w:p>
      <w:pPr>
        <w:pStyle w:val="6"/>
        <w:jc w:val="center"/>
        <w:rPr>
          <w:rFonts w:hint="eastAsia" w:ascii="宋体" w:hAnsi="宋体" w:eastAsia="宋体" w:cs="宋体"/>
          <w:color w:val="auto"/>
          <w:sz w:val="36"/>
          <w:szCs w:val="36"/>
          <w:highlight w:val="none"/>
        </w:rPr>
      </w:pPr>
    </w:p>
    <w:p>
      <w:pPr>
        <w:pStyle w:val="6"/>
        <w:jc w:val="center"/>
        <w:rPr>
          <w:rFonts w:hint="eastAsia" w:ascii="宋体" w:hAnsi="宋体" w:eastAsia="宋体" w:cs="宋体"/>
          <w:color w:val="auto"/>
          <w:sz w:val="36"/>
          <w:szCs w:val="36"/>
          <w:highlight w:val="none"/>
        </w:rPr>
      </w:pPr>
    </w:p>
    <w:p>
      <w:pPr>
        <w:pStyle w:val="6"/>
        <w:jc w:val="center"/>
        <w:rPr>
          <w:rFonts w:hint="eastAsia" w:ascii="宋体" w:hAnsi="宋体" w:eastAsia="宋体" w:cs="宋体"/>
          <w:color w:val="auto"/>
          <w:sz w:val="36"/>
          <w:szCs w:val="36"/>
          <w:highlight w:val="none"/>
        </w:rPr>
      </w:pPr>
    </w:p>
    <w:p>
      <w:pPr>
        <w:pStyle w:val="6"/>
        <w:jc w:val="center"/>
        <w:rPr>
          <w:rFonts w:hint="eastAsia" w:ascii="宋体" w:hAnsi="宋体" w:eastAsia="宋体" w:cs="宋体"/>
          <w:color w:val="auto"/>
          <w:sz w:val="36"/>
          <w:szCs w:val="36"/>
          <w:highlight w:val="none"/>
        </w:rPr>
      </w:pPr>
    </w:p>
    <w:p>
      <w:pPr>
        <w:pStyle w:val="6"/>
        <w:jc w:val="center"/>
        <w:rPr>
          <w:rFonts w:hint="eastAsia" w:ascii="宋体" w:hAnsi="宋体" w:eastAsia="宋体" w:cs="宋体"/>
          <w:color w:val="auto"/>
          <w:sz w:val="36"/>
          <w:szCs w:val="36"/>
          <w:highlight w:val="none"/>
        </w:rPr>
      </w:pPr>
    </w:p>
    <w:p>
      <w:pPr>
        <w:pStyle w:val="6"/>
        <w:jc w:val="center"/>
        <w:rPr>
          <w:rFonts w:hint="eastAsia" w:ascii="宋体" w:hAnsi="宋体" w:eastAsia="宋体" w:cs="宋体"/>
          <w:color w:val="auto"/>
          <w:sz w:val="36"/>
          <w:szCs w:val="36"/>
          <w:highlight w:val="none"/>
        </w:rPr>
      </w:pPr>
    </w:p>
    <w:p>
      <w:pPr>
        <w:rPr>
          <w:rFonts w:hint="eastAsia" w:ascii="宋体" w:hAnsi="宋体" w:eastAsia="宋体" w:cs="宋体"/>
          <w:color w:val="auto"/>
          <w:sz w:val="36"/>
          <w:szCs w:val="36"/>
          <w:highlight w:val="none"/>
        </w:rPr>
      </w:pPr>
    </w:p>
    <w:p>
      <w:pPr>
        <w:pStyle w:val="2"/>
        <w:rPr>
          <w:rFonts w:hint="eastAsia" w:ascii="宋体" w:hAnsi="宋体" w:eastAsia="宋体" w:cs="宋体"/>
          <w:color w:val="auto"/>
          <w:sz w:val="36"/>
          <w:szCs w:val="36"/>
          <w:highlight w:val="none"/>
        </w:rPr>
      </w:pPr>
    </w:p>
    <w:p>
      <w:pPr>
        <w:rPr>
          <w:rFonts w:hint="eastAsia" w:ascii="宋体" w:hAnsi="宋体" w:eastAsia="宋体" w:cs="宋体"/>
          <w:color w:val="auto"/>
          <w:sz w:val="36"/>
          <w:szCs w:val="36"/>
          <w:highlight w:val="none"/>
        </w:rPr>
      </w:pPr>
    </w:p>
    <w:p>
      <w:pPr>
        <w:pStyle w:val="2"/>
        <w:rPr>
          <w:rFonts w:hint="eastAsia" w:ascii="宋体" w:hAnsi="宋体" w:eastAsia="宋体" w:cs="宋体"/>
          <w:color w:val="auto"/>
          <w:highlight w:val="none"/>
        </w:rPr>
      </w:pPr>
    </w:p>
    <w:p>
      <w:pPr>
        <w:pStyle w:val="6"/>
        <w:jc w:val="center"/>
        <w:rPr>
          <w:rFonts w:hint="eastAsia" w:ascii="宋体" w:hAnsi="宋体" w:eastAsia="宋体" w:cs="宋体"/>
          <w:color w:val="auto"/>
          <w:sz w:val="36"/>
          <w:szCs w:val="36"/>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numPr>
          <w:ilvl w:val="0"/>
          <w:numId w:val="3"/>
        </w:numPr>
        <w:jc w:val="center"/>
        <w:rPr>
          <w:rFonts w:hint="eastAsia" w:ascii="宋体" w:hAnsi="宋体" w:eastAsia="宋体" w:cs="宋体"/>
          <w:color w:val="auto"/>
          <w:sz w:val="36"/>
          <w:szCs w:val="36"/>
          <w:highlight w:val="none"/>
        </w:rPr>
      </w:pPr>
      <w:bookmarkStart w:id="15" w:name="_Toc12933"/>
      <w:r>
        <w:rPr>
          <w:rFonts w:hint="eastAsia" w:ascii="宋体" w:hAnsi="宋体" w:eastAsia="宋体" w:cs="宋体"/>
          <w:color w:val="auto"/>
          <w:sz w:val="36"/>
          <w:szCs w:val="36"/>
          <w:highlight w:val="none"/>
        </w:rPr>
        <w:t>采购方法</w:t>
      </w:r>
      <w:bookmarkEnd w:id="14"/>
      <w:bookmarkEnd w:id="15"/>
    </w:p>
    <w:tbl>
      <w:tblPr>
        <w:tblStyle w:val="22"/>
        <w:tblW w:w="9409" w:type="dxa"/>
        <w:jc w:val="center"/>
        <w:tblLayout w:type="autofit"/>
        <w:tblCellMar>
          <w:top w:w="0" w:type="dxa"/>
          <w:left w:w="108" w:type="dxa"/>
          <w:bottom w:w="0" w:type="dxa"/>
          <w:right w:w="108" w:type="dxa"/>
        </w:tblCellMar>
      </w:tblPr>
      <w:tblGrid>
        <w:gridCol w:w="1604"/>
        <w:gridCol w:w="2058"/>
        <w:gridCol w:w="5747"/>
      </w:tblGrid>
      <w:tr>
        <w:tblPrEx>
          <w:tblCellMar>
            <w:top w:w="0" w:type="dxa"/>
            <w:left w:w="108" w:type="dxa"/>
            <w:bottom w:w="0" w:type="dxa"/>
            <w:right w:w="108" w:type="dxa"/>
          </w:tblCellMar>
        </w:tblPrEx>
        <w:trPr>
          <w:trHeight w:val="205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bookmarkStart w:id="16" w:name="_Toc3856"/>
            <w:r>
              <w:rPr>
                <w:rFonts w:hint="eastAsia" w:ascii="宋体" w:hAnsi="宋体" w:eastAsia="宋体" w:cs="宋体"/>
                <w:color w:val="auto"/>
                <w:kern w:val="0"/>
                <w:sz w:val="24"/>
                <w:highlight w:val="none"/>
                <w:lang w:bidi="ar"/>
              </w:rPr>
              <w:t>1.公开比选采购文件</w:t>
            </w: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1.1公开比选采购文件的组成</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本公开比选采购文件包括                                                                   (1)采购公告                                                     (2)供应商须知                                                                            (3)采购方法                                                                    (4)评审办法                                                                    (5)响应文件格式                                                                 </w:t>
            </w:r>
          </w:p>
        </w:tc>
      </w:tr>
      <w:tr>
        <w:tblPrEx>
          <w:tblCellMar>
            <w:top w:w="0" w:type="dxa"/>
            <w:left w:w="108" w:type="dxa"/>
            <w:bottom w:w="0" w:type="dxa"/>
            <w:right w:w="108" w:type="dxa"/>
          </w:tblCellMar>
        </w:tblPrEx>
        <w:trPr>
          <w:trHeight w:val="294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1.2公开比选采购文件的澄清</w:t>
            </w:r>
          </w:p>
        </w:tc>
        <w:tc>
          <w:tcPr>
            <w:tcW w:w="574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1.2.1响应单位应仔细阅读和检查公开比选采购文件的全部内容；如发现缺页或附件不全，应及时向比选单位提出，以便补齐；如有疑问，应在比选采购文件规定的截止时间前以书面形式提出澄清申请，要求比选单位对公开比选采购文件予以澄清。                                               1.2.2比选单位在收到澄清申请1日内做出答复(收到次日起算)。                                         1.2.3澄清文件发布在平台，一经发布，视为所有潜在响应单位均已送达并接受。</w:t>
            </w:r>
          </w:p>
        </w:tc>
      </w:tr>
      <w:tr>
        <w:tblPrEx>
          <w:tblCellMar>
            <w:top w:w="0" w:type="dxa"/>
            <w:left w:w="108" w:type="dxa"/>
            <w:bottom w:w="0" w:type="dxa"/>
            <w:right w:w="108" w:type="dxa"/>
          </w:tblCellMar>
        </w:tblPrEx>
        <w:trPr>
          <w:trHeight w:val="2357" w:hRule="atLeast"/>
          <w:jc w:val="center"/>
        </w:trPr>
        <w:tc>
          <w:tcPr>
            <w:tcW w:w="1604" w:type="dxa"/>
            <w:vMerge w:val="continue"/>
            <w:tcBorders>
              <w:top w:val="single" w:color="000000" w:sz="4" w:space="0"/>
              <w:left w:val="single" w:color="000000" w:sz="4" w:space="0"/>
              <w:bottom w:val="single" w:color="auto"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1.3公开比选采购文件的修改</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1.3.1在</w:t>
            </w:r>
            <w:r>
              <w:rPr>
                <w:rFonts w:hint="eastAsia" w:ascii="宋体" w:hAnsi="宋体" w:eastAsia="宋体" w:cs="宋体"/>
                <w:color w:val="auto"/>
                <w:sz w:val="24"/>
                <w:highlight w:val="none"/>
              </w:rPr>
              <w:t>响应文件递交截止时间</w:t>
            </w:r>
            <w:r>
              <w:rPr>
                <w:rFonts w:hint="eastAsia" w:ascii="宋体" w:hAnsi="宋体" w:eastAsia="宋体" w:cs="宋体"/>
                <w:color w:val="auto"/>
                <w:kern w:val="0"/>
                <w:sz w:val="24"/>
                <w:highlight w:val="none"/>
                <w:lang w:bidi="ar"/>
              </w:rPr>
              <w:t>2日前，比选单位可以书面形式修改公开比选采购文件，并通知所有下载公开比选采购文件的响应单位；如果修改公开比选采购文件的时间距比选截止时间的间隔可能影响响应文件编制的，相应延长比选截止时间                                                     1.3.2修改通知书发布在平台，一经发布，视为所有潜在响应单位均已送达并接受。</w:t>
            </w:r>
          </w:p>
        </w:tc>
      </w:tr>
      <w:tr>
        <w:tblPrEx>
          <w:tblCellMar>
            <w:top w:w="0" w:type="dxa"/>
            <w:left w:w="108" w:type="dxa"/>
            <w:bottom w:w="0" w:type="dxa"/>
            <w:right w:w="108" w:type="dxa"/>
          </w:tblCellMar>
        </w:tblPrEx>
        <w:trPr>
          <w:trHeight w:val="5293"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2.比选</w:t>
            </w: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2.1响应文件</w:t>
            </w:r>
          </w:p>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的编写</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2.1.1响应文件应当对公开比选采购文件有关工期、投标有效期、质量要求等实质性内容做出响应；                                                            2.1.2响应文件应使用不褪色的材料书写或打印。</w:t>
            </w:r>
          </w:p>
          <w:p>
            <w:pPr>
              <w:widowControl/>
              <w:spacing w:line="320" w:lineRule="exact"/>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（1）所有要求投标人盖章的地方都应加盖投标人单位（法定名称）公章，不得使用专用印章（如经济合同章、投标专用章等）或下属单位印章代替，否则视为无效标书。</w:t>
            </w:r>
          </w:p>
          <w:p>
            <w:pPr>
              <w:widowControl/>
              <w:spacing w:line="320" w:lineRule="exact"/>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（2）投标文件若有修改，修改处应由投标人法定代表人或其委托代理人签字或加盖单位章。</w:t>
            </w:r>
          </w:p>
          <w:p>
            <w:pPr>
              <w:widowControl/>
              <w:spacing w:line="320" w:lineRule="exact"/>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3）投标人在制作投标文件时，均应按照招标文件要求加盖投标人公章；所涉及法定代表人或其委托代理人签字的，投标文件由投标人的法定代表人签字的，应附法定代表人身份证明；投标文件由代理人签字的，应附由法定代表人签署的授权委托书。   </w:t>
            </w:r>
          </w:p>
          <w:p>
            <w:pPr>
              <w:widowControl/>
              <w:spacing w:line="320" w:lineRule="exact"/>
              <w:jc w:val="left"/>
              <w:textAlignment w:val="center"/>
              <w:rPr>
                <w:rFonts w:hint="eastAsia" w:ascii="宋体" w:hAnsi="宋体" w:eastAsia="宋体" w:cs="宋体"/>
                <w:color w:val="auto"/>
                <w:sz w:val="24"/>
                <w:highlight w:val="none"/>
              </w:rPr>
            </w:pPr>
            <w:r>
              <w:rPr>
                <w:rFonts w:hint="eastAsia" w:ascii="宋体" w:hAnsi="宋体" w:eastAsia="宋体" w:cs="宋体"/>
                <w:b/>
                <w:bCs/>
                <w:color w:val="auto"/>
                <w:kern w:val="0"/>
                <w:sz w:val="28"/>
                <w:szCs w:val="28"/>
                <w:highlight w:val="none"/>
                <w:lang w:bidi="ar"/>
              </w:rPr>
              <w:t>注：所有报价清单应逐页加盖供应商单位公章，未逐页加盖响应文件按无效处理。</w:t>
            </w:r>
            <w:r>
              <w:rPr>
                <w:rFonts w:hint="eastAsia" w:ascii="宋体" w:hAnsi="宋体" w:eastAsia="宋体" w:cs="宋体"/>
                <w:color w:val="auto"/>
                <w:kern w:val="0"/>
                <w:sz w:val="24"/>
                <w:highlight w:val="none"/>
                <w:lang w:bidi="ar"/>
              </w:rPr>
              <w:t xml:space="preserve">                     </w:t>
            </w:r>
          </w:p>
        </w:tc>
      </w:tr>
      <w:tr>
        <w:tblPrEx>
          <w:tblCellMar>
            <w:top w:w="0" w:type="dxa"/>
            <w:left w:w="108" w:type="dxa"/>
            <w:bottom w:w="0" w:type="dxa"/>
            <w:right w:w="108" w:type="dxa"/>
          </w:tblCellMar>
        </w:tblPrEx>
        <w:trPr>
          <w:trHeight w:val="490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2.2递交响应文件要求</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2.2.1响应文件的密封                                                                                                                                                                                       按照密封要求现场递交密封的响应文件                                                                                                                                                            2.2.2递交方式和地点见第二章供应商须知                                                  2.2.3在规定的比选截止时间前，响应单位可以修改或撤回已递交的响应文件，但应以书面形式通知比选单位：比选单位收到书面通知后，向响应单位出具签收凭证                                                                                                                             2.2.4修改的内容为响应文件的组成部分；修改的响应文件应按规定签字盖章、密封、标识和递交，并标明“修改”字样                                                            2.2.5响应单位对比选采购文件有异议，可在比选采购文件规定的比选截止时间前提出，比选单位应在1日内答复</w:t>
            </w:r>
          </w:p>
          <w:p>
            <w:pPr>
              <w:widowControl/>
              <w:spacing w:line="320" w:lineRule="exact"/>
              <w:jc w:val="left"/>
              <w:textAlignment w:val="center"/>
              <w:rPr>
                <w:rFonts w:hint="eastAsia" w:ascii="宋体" w:hAnsi="宋体" w:eastAsia="宋体" w:cs="宋体"/>
                <w:color w:val="auto"/>
                <w:highlight w:val="none"/>
              </w:rPr>
            </w:pPr>
            <w:r>
              <w:rPr>
                <w:rFonts w:hint="eastAsia" w:ascii="宋体" w:hAnsi="宋体" w:eastAsia="宋体" w:cs="宋体"/>
                <w:b/>
                <w:bCs/>
                <w:color w:val="auto"/>
                <w:kern w:val="0"/>
                <w:sz w:val="24"/>
                <w:highlight w:val="none"/>
                <w:lang w:bidi="ar"/>
              </w:rPr>
              <w:t>2.2.6递交响应文件的供应商应不少于3家；不足3家的，应重新比选</w:t>
            </w:r>
          </w:p>
        </w:tc>
      </w:tr>
      <w:tr>
        <w:tblPrEx>
          <w:tblCellMar>
            <w:top w:w="0" w:type="dxa"/>
            <w:left w:w="108" w:type="dxa"/>
            <w:bottom w:w="0" w:type="dxa"/>
            <w:right w:w="108" w:type="dxa"/>
          </w:tblCellMar>
        </w:tblPrEx>
        <w:trPr>
          <w:trHeight w:val="501" w:hRule="atLeast"/>
          <w:jc w:val="center"/>
        </w:trPr>
        <w:tc>
          <w:tcPr>
            <w:tcW w:w="1604"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3.开标</w:t>
            </w:r>
          </w:p>
        </w:tc>
        <w:tc>
          <w:tcPr>
            <w:tcW w:w="2058"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3.1时间地点</w:t>
            </w:r>
          </w:p>
        </w:tc>
        <w:tc>
          <w:tcPr>
            <w:tcW w:w="5747"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textAlignment w:val="center"/>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 xml:space="preserve">开标时间和地点见第二章供应商须知                                                 </w:t>
            </w:r>
          </w:p>
        </w:tc>
      </w:tr>
      <w:tr>
        <w:tblPrEx>
          <w:tblCellMar>
            <w:top w:w="0" w:type="dxa"/>
            <w:left w:w="108" w:type="dxa"/>
            <w:bottom w:w="0" w:type="dxa"/>
            <w:right w:w="108" w:type="dxa"/>
          </w:tblCellMar>
        </w:tblPrEx>
        <w:trPr>
          <w:trHeight w:val="499" w:hRule="atLeast"/>
          <w:jc w:val="center"/>
        </w:trPr>
        <w:tc>
          <w:tcPr>
            <w:tcW w:w="160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4.评标</w:t>
            </w:r>
          </w:p>
        </w:tc>
        <w:tc>
          <w:tcPr>
            <w:tcW w:w="205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4.1评标办法</w:t>
            </w:r>
          </w:p>
        </w:tc>
        <w:tc>
          <w:tcPr>
            <w:tcW w:w="5747" w:type="dxa"/>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资格后审，综合评分法</w:t>
            </w:r>
          </w:p>
        </w:tc>
      </w:tr>
      <w:tr>
        <w:tblPrEx>
          <w:tblCellMar>
            <w:top w:w="0" w:type="dxa"/>
            <w:left w:w="108" w:type="dxa"/>
            <w:bottom w:w="0" w:type="dxa"/>
            <w:right w:w="108" w:type="dxa"/>
          </w:tblCellMar>
        </w:tblPrEx>
        <w:trPr>
          <w:trHeight w:val="491"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4.2评标结果</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sz w:val="24"/>
                <w:highlight w:val="none"/>
              </w:rPr>
              <w:t>本次招标拟选定1个响应单位作为中标单位。</w:t>
            </w:r>
          </w:p>
        </w:tc>
      </w:tr>
      <w:tr>
        <w:tblPrEx>
          <w:tblCellMar>
            <w:top w:w="0" w:type="dxa"/>
            <w:left w:w="108" w:type="dxa"/>
            <w:bottom w:w="0" w:type="dxa"/>
            <w:right w:w="108" w:type="dxa"/>
          </w:tblCellMar>
        </w:tblPrEx>
        <w:trPr>
          <w:trHeight w:val="567"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4.3评审报告</w:t>
            </w:r>
          </w:p>
        </w:tc>
        <w:tc>
          <w:tcPr>
            <w:tcW w:w="574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依据法律法规和比选采购文件的要求评审小组向比选单位提交评审报告,推荐3家合格的中标候选人，并确定排名第一的中选候选人为中选人</w:t>
            </w:r>
          </w:p>
        </w:tc>
      </w:tr>
      <w:tr>
        <w:tblPrEx>
          <w:tblCellMar>
            <w:top w:w="0" w:type="dxa"/>
            <w:left w:w="108" w:type="dxa"/>
            <w:bottom w:w="0" w:type="dxa"/>
            <w:right w:w="108" w:type="dxa"/>
          </w:tblCellMar>
        </w:tblPrEx>
        <w:trPr>
          <w:trHeight w:val="320" w:hRule="atLeast"/>
          <w:jc w:val="center"/>
        </w:trPr>
        <w:tc>
          <w:tcPr>
            <w:tcW w:w="1604" w:type="dxa"/>
            <w:vMerge w:val="continue"/>
            <w:tcBorders>
              <w:top w:val="single" w:color="000000" w:sz="4" w:space="0"/>
              <w:left w:val="single" w:color="auto"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5747"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74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5.中选</w:t>
            </w:r>
          </w:p>
        </w:tc>
        <w:tc>
          <w:tcPr>
            <w:tcW w:w="20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5.1公示及处理</w:t>
            </w:r>
          </w:p>
        </w:tc>
        <w:tc>
          <w:tcPr>
            <w:tcW w:w="574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比选单位在评审小组提交评审报告后3日内在平台公示中标候选人</w:t>
            </w:r>
          </w:p>
        </w:tc>
      </w:tr>
      <w:tr>
        <w:tblPrEx>
          <w:tblCellMar>
            <w:top w:w="0" w:type="dxa"/>
            <w:left w:w="108" w:type="dxa"/>
            <w:bottom w:w="0" w:type="dxa"/>
            <w:right w:w="108" w:type="dxa"/>
          </w:tblCellMar>
        </w:tblPrEx>
        <w:trPr>
          <w:trHeight w:val="71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5.2确定中选人</w:t>
            </w:r>
          </w:p>
        </w:tc>
        <w:tc>
          <w:tcPr>
            <w:tcW w:w="5747" w:type="dxa"/>
            <w:tcBorders>
              <w:top w:val="single" w:color="000000" w:sz="4" w:space="0"/>
              <w:left w:val="single" w:color="000000" w:sz="4" w:space="0"/>
              <w:bottom w:val="single" w:color="auto"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授权评审小组确定排名第一的中选候选人为中选人</w:t>
            </w:r>
          </w:p>
        </w:tc>
      </w:tr>
      <w:tr>
        <w:tblPrEx>
          <w:tblCellMar>
            <w:top w:w="0" w:type="dxa"/>
            <w:left w:w="108" w:type="dxa"/>
            <w:bottom w:w="0" w:type="dxa"/>
            <w:right w:w="108" w:type="dxa"/>
          </w:tblCellMar>
        </w:tblPrEx>
        <w:trPr>
          <w:trHeight w:val="729"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宋体" w:hAnsi="宋体" w:eastAsia="宋体" w:cs="宋体"/>
                <w:color w:val="auto"/>
                <w:sz w:val="24"/>
                <w:highlight w:val="none"/>
              </w:rPr>
            </w:pPr>
          </w:p>
        </w:tc>
        <w:tc>
          <w:tcPr>
            <w:tcW w:w="2058"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5.3发出中选通知书</w:t>
            </w:r>
          </w:p>
        </w:tc>
        <w:tc>
          <w:tcPr>
            <w:tcW w:w="5747" w:type="dxa"/>
            <w:tcBorders>
              <w:top w:val="single" w:color="auto"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公示完毕后,比选单位向中选人发出中选通知书</w:t>
            </w:r>
          </w:p>
        </w:tc>
      </w:tr>
      <w:bookmarkEnd w:id="16"/>
    </w:tbl>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jc w:val="center"/>
        <w:rPr>
          <w:rFonts w:hint="eastAsia" w:ascii="宋体" w:hAnsi="宋体" w:eastAsia="宋体" w:cs="宋体"/>
          <w:color w:val="auto"/>
          <w:sz w:val="36"/>
          <w:szCs w:val="36"/>
          <w:highlight w:val="none"/>
        </w:rPr>
      </w:pPr>
      <w:bookmarkStart w:id="17" w:name="_Toc16056"/>
      <w:r>
        <w:rPr>
          <w:rFonts w:hint="eastAsia" w:ascii="宋体" w:hAnsi="宋体" w:eastAsia="宋体" w:cs="宋体"/>
          <w:color w:val="auto"/>
          <w:sz w:val="36"/>
          <w:szCs w:val="36"/>
          <w:highlight w:val="none"/>
        </w:rPr>
        <w:t>第四章 评审办法</w:t>
      </w:r>
      <w:bookmarkEnd w:id="17"/>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1.评审方法</w:t>
      </w:r>
    </w:p>
    <w:p>
      <w:pPr>
        <w:spacing w:line="520" w:lineRule="exact"/>
        <w:ind w:firstLine="480" w:firstLineChars="20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本次评审采用</w:t>
      </w:r>
      <w:r>
        <w:rPr>
          <w:rFonts w:hint="eastAsia" w:ascii="宋体" w:hAnsi="宋体" w:eastAsia="宋体" w:cs="宋体"/>
          <w:color w:val="auto"/>
          <w:sz w:val="24"/>
          <w:highlight w:val="none"/>
        </w:rPr>
        <w:t>综合评分法</w:t>
      </w:r>
      <w:r>
        <w:rPr>
          <w:rFonts w:hint="eastAsia" w:ascii="宋体" w:hAnsi="宋体" w:eastAsia="宋体" w:cs="宋体"/>
          <w:color w:val="auto"/>
          <w:kern w:val="0"/>
          <w:sz w:val="24"/>
          <w:highlight w:val="none"/>
          <w:lang w:bidi="ar"/>
        </w:rPr>
        <w:t>。</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1.1 初步评审</w:t>
      </w:r>
    </w:p>
    <w:p>
      <w:pPr>
        <w:widowControl/>
        <w:spacing w:line="500" w:lineRule="exact"/>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初步评审标准</w:t>
      </w:r>
    </w:p>
    <w:tbl>
      <w:tblPr>
        <w:tblStyle w:val="22"/>
        <w:tblW w:w="9179"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505"/>
        <w:gridCol w:w="3034"/>
        <w:gridCol w:w="464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42" w:hRule="atLeast"/>
        </w:trPr>
        <w:tc>
          <w:tcPr>
            <w:tcW w:w="1505"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评审环节</w:t>
            </w: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评审因素</w:t>
            </w:r>
          </w:p>
        </w:tc>
        <w:tc>
          <w:tcPr>
            <w:tcW w:w="4640"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评审标准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6" w:hRule="atLeast"/>
        </w:trPr>
        <w:tc>
          <w:tcPr>
            <w:tcW w:w="1505" w:type="dxa"/>
            <w:vMerge w:val="restart"/>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形式评审</w:t>
            </w: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供应商名称</w:t>
            </w:r>
          </w:p>
        </w:tc>
        <w:tc>
          <w:tcPr>
            <w:tcW w:w="4640" w:type="dxa"/>
            <w:tcBorders>
              <w:tl2br w:val="nil"/>
              <w:tr2bl w:val="nil"/>
            </w:tcBorders>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与营业执照、资质证书等资料一致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7"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响应文件格式</w:t>
            </w:r>
          </w:p>
        </w:tc>
        <w:tc>
          <w:tcPr>
            <w:tcW w:w="4640" w:type="dxa"/>
            <w:tcBorders>
              <w:tl2br w:val="nil"/>
              <w:tr2bl w:val="nil"/>
            </w:tcBorders>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符合比选采购文件“第五章响应文件格式”要求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32"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法定代表人身份证明或授权委托书</w:t>
            </w:r>
          </w:p>
        </w:tc>
        <w:tc>
          <w:tcPr>
            <w:tcW w:w="4640" w:type="dxa"/>
            <w:tcBorders>
              <w:tl2br w:val="nil"/>
              <w:tr2bl w:val="nil"/>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符合比选采购文件“响应文件格式”要求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5" w:hRule="atLeast"/>
        </w:trPr>
        <w:tc>
          <w:tcPr>
            <w:tcW w:w="1505" w:type="dxa"/>
            <w:vMerge w:val="restart"/>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资格评审</w:t>
            </w: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营业执照</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有效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4"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shd w:val="clear" w:color="auto" w:fill="FFFFFF"/>
              </w:rPr>
              <w:t>资质证书</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有效，满足比选采购文件要求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shd w:val="clear" w:color="auto" w:fill="FFFFFF"/>
              </w:rPr>
              <w:t>安全生产许可证</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有效，满足比选采购文件要求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3"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信誉要求</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shd w:val="clear" w:color="auto" w:fill="FFFFFF"/>
              </w:rPr>
              <w:t>未被“信用中国”网站列入失信被执行人名单。（</w:t>
            </w:r>
            <w:r>
              <w:rPr>
                <w:rFonts w:hint="eastAsia" w:ascii="宋体" w:hAnsi="宋体" w:eastAsia="宋体" w:cs="宋体"/>
                <w:color w:val="auto"/>
                <w:szCs w:val="21"/>
                <w:highlight w:val="none"/>
                <w:shd w:val="clear" w:color="auto" w:fill="FFFFFF"/>
                <w:lang w:val="en-US" w:eastAsia="zh-CN"/>
              </w:rPr>
              <w:t>提供承诺书</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kern w:val="0"/>
                <w:szCs w:val="21"/>
                <w:highlight w:val="none"/>
                <w:lang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7"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其他要求</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shd w:val="clear" w:color="auto" w:fill="FFFFFF"/>
              </w:rPr>
              <w:t>参加本项目比选的</w:t>
            </w: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shd w:val="clear" w:color="auto" w:fill="FFFFFF"/>
              </w:rPr>
              <w:t>应为石家庄承宏工程建设有限公司入库成员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trPr>
        <w:tc>
          <w:tcPr>
            <w:tcW w:w="1505" w:type="dxa"/>
            <w:vMerge w:val="restart"/>
            <w:tcBorders>
              <w:tl2br w:val="nil"/>
              <w:tr2bl w:val="nil"/>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响应评审</w:t>
            </w: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响应文件的份数、构成及签字盖章</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1"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响应文件有效期</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8"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投标报价</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2"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工期</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7"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质量标准</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0"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工程量清单</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0" w:hRule="atLeast"/>
        </w:trPr>
        <w:tc>
          <w:tcPr>
            <w:tcW w:w="1505" w:type="dxa"/>
            <w:vMerge w:val="continue"/>
            <w:tcBorders>
              <w:tl2br w:val="nil"/>
              <w:tr2bl w:val="nil"/>
            </w:tcBorders>
            <w:noWrap/>
            <w:vAlign w:val="center"/>
          </w:tcPr>
          <w:p>
            <w:pPr>
              <w:jc w:val="center"/>
              <w:rPr>
                <w:rFonts w:hint="eastAsia" w:ascii="宋体" w:hAnsi="宋体" w:eastAsia="宋体" w:cs="宋体"/>
                <w:color w:val="auto"/>
                <w:szCs w:val="21"/>
                <w:highlight w:val="none"/>
              </w:rPr>
            </w:pPr>
          </w:p>
        </w:tc>
        <w:tc>
          <w:tcPr>
            <w:tcW w:w="3034" w:type="dxa"/>
            <w:tcBorders>
              <w:tl2br w:val="nil"/>
              <w:tr2bl w:val="nil"/>
            </w:tcBorders>
            <w:noWrap/>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其他</w:t>
            </w:r>
          </w:p>
        </w:tc>
        <w:tc>
          <w:tcPr>
            <w:tcW w:w="4640" w:type="dxa"/>
            <w:tcBorders>
              <w:tl2br w:val="nil"/>
              <w:tr2bl w:val="nil"/>
            </w:tcBorders>
            <w:noWrap/>
            <w:vAlign w:val="center"/>
          </w:tcPr>
          <w:p>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满足比选采购文件其他要求</w:t>
            </w:r>
          </w:p>
        </w:tc>
      </w:tr>
    </w:tbl>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 详细评审</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（1）对通过初步评审的响应文件进行详细评审。详细评审包括响应报价和技术评审。</w:t>
      </w:r>
    </w:p>
    <w:tbl>
      <w:tblPr>
        <w:tblStyle w:val="22"/>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218"/>
        <w:gridCol w:w="2796"/>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401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评审内容</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评标方法</w:t>
            </w:r>
          </w:p>
        </w:tc>
        <w:tc>
          <w:tcPr>
            <w:tcW w:w="2796"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综合评分法</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按综合得分由高到低顺序排序，分值相同的按报价得分由高到低排序，报价得分也相同的并列。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分值构成</w:t>
            </w:r>
          </w:p>
        </w:tc>
        <w:tc>
          <w:tcPr>
            <w:tcW w:w="2796" w:type="dxa"/>
            <w:tcBorders>
              <w:top w:val="single" w:color="auto" w:sz="4" w:space="0"/>
              <w:left w:val="single" w:color="auto" w:sz="4" w:space="0"/>
              <w:bottom w:val="single" w:color="auto" w:sz="4" w:space="0"/>
              <w:right w:val="single" w:color="auto" w:sz="4" w:space="0"/>
            </w:tcBorders>
            <w:vAlign w:val="center"/>
          </w:tcPr>
          <w:p>
            <w:pPr>
              <w:spacing w:line="360" w:lineRule="exact"/>
              <w:ind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分值权重</w:t>
            </w:r>
          </w:p>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(总分100 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报价部分：70分</w:t>
            </w:r>
          </w:p>
          <w:p>
            <w:pPr>
              <w:spacing w:line="360" w:lineRule="exact"/>
              <w:ind w:left="21" w:leftChars="10" w:right="21" w:rightChars="1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技术部分（技术方案）：25分</w:t>
            </w:r>
          </w:p>
          <w:p>
            <w:pPr>
              <w:spacing w:line="360" w:lineRule="exact"/>
              <w:ind w:left="21" w:leftChars="10" w:right="21" w:rightChars="1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商务部分：5分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2.1</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响应报价评分标准</w:t>
            </w:r>
          </w:p>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（70分）</w:t>
            </w:r>
          </w:p>
        </w:tc>
        <w:tc>
          <w:tcPr>
            <w:tcW w:w="2796" w:type="dxa"/>
            <w:tcBorders>
              <w:top w:val="single" w:color="auto" w:sz="4" w:space="0"/>
              <w:left w:val="single" w:color="auto" w:sz="4" w:space="0"/>
              <w:bottom w:val="single" w:color="auto" w:sz="4" w:space="0"/>
              <w:right w:val="single" w:color="auto" w:sz="4" w:space="0"/>
            </w:tcBorders>
            <w:vAlign w:val="center"/>
          </w:tcPr>
          <w:p>
            <w:pPr>
              <w:pStyle w:val="21"/>
              <w:spacing w:afterAutospacing="0"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报价得分计算方法（70分）</w:t>
            </w:r>
          </w:p>
        </w:tc>
        <w:tc>
          <w:tcPr>
            <w:tcW w:w="4709" w:type="dxa"/>
            <w:tcBorders>
              <w:top w:val="single" w:color="auto" w:sz="4" w:space="0"/>
              <w:left w:val="single" w:color="auto" w:sz="4" w:space="0"/>
              <w:bottom w:val="single" w:color="auto" w:sz="4" w:space="0"/>
              <w:right w:val="single" w:color="auto" w:sz="4" w:space="0"/>
            </w:tcBorders>
            <w:vAlign w:val="center"/>
          </w:tcPr>
          <w:p>
            <w:pPr>
              <w:pStyle w:val="28"/>
              <w:widowControl/>
              <w:spacing w:line="36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1.以供应商有效最低报价为基准价，基准价得分70分。</w:t>
            </w:r>
          </w:p>
          <w:p>
            <w:pPr>
              <w:pStyle w:val="28"/>
              <w:widowControl/>
              <w:spacing w:line="36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2.供应商报价得分＝(基准价／供应商报价)×70。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restart"/>
            <w:tcBorders>
              <w:left w:val="single" w:color="auto" w:sz="4" w:space="0"/>
              <w:right w:val="single" w:color="auto" w:sz="4" w:space="0"/>
            </w:tcBorders>
            <w:vAlign w:val="center"/>
          </w:tcPr>
          <w:p>
            <w:pPr>
              <w:spacing w:line="360" w:lineRule="exact"/>
              <w:jc w:val="center"/>
              <w:rPr>
                <w:rFonts w:hint="eastAsia" w:ascii="宋体" w:hAnsi="宋体" w:eastAsia="宋体" w:cs="宋体"/>
                <w:color w:val="auto"/>
                <w:szCs w:val="21"/>
                <w:highlight w:val="none"/>
                <w:lang w:bidi="ar"/>
              </w:rPr>
            </w:pPr>
          </w:p>
          <w:p>
            <w:pPr>
              <w:spacing w:line="360" w:lineRule="exact"/>
              <w:jc w:val="center"/>
              <w:rPr>
                <w:rFonts w:hint="eastAsia" w:ascii="宋体" w:hAnsi="宋体" w:eastAsia="宋体" w:cs="宋体"/>
                <w:color w:val="auto"/>
                <w:szCs w:val="21"/>
                <w:highlight w:val="none"/>
                <w:lang w:bidi="ar"/>
              </w:rPr>
            </w:pPr>
          </w:p>
          <w:p>
            <w:pPr>
              <w:spacing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2.2</w:t>
            </w:r>
          </w:p>
          <w:p>
            <w:pPr>
              <w:spacing w:line="360" w:lineRule="exact"/>
              <w:rPr>
                <w:rFonts w:hint="eastAsia" w:ascii="宋体" w:hAnsi="宋体" w:eastAsia="宋体" w:cs="宋体"/>
                <w:color w:val="auto"/>
                <w:szCs w:val="21"/>
                <w:highlight w:val="none"/>
              </w:rPr>
            </w:pPr>
          </w:p>
          <w:p>
            <w:pPr>
              <w:spacing w:line="360" w:lineRule="exact"/>
              <w:rPr>
                <w:rFonts w:hint="eastAsia" w:ascii="宋体" w:hAnsi="宋体" w:eastAsia="宋体" w:cs="宋体"/>
                <w:color w:val="auto"/>
                <w:szCs w:val="21"/>
                <w:highlight w:val="none"/>
              </w:rPr>
            </w:pPr>
          </w:p>
        </w:tc>
        <w:tc>
          <w:tcPr>
            <w:tcW w:w="1218" w:type="dxa"/>
            <w:vMerge w:val="restart"/>
            <w:tcBorders>
              <w:left w:val="single" w:color="auto" w:sz="4" w:space="0"/>
              <w:right w:val="single" w:color="auto" w:sz="4" w:space="0"/>
            </w:tcBorders>
            <w:vAlign w:val="center"/>
          </w:tcPr>
          <w:p>
            <w:pPr>
              <w:spacing w:line="360" w:lineRule="exact"/>
              <w:ind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技术方案评分标准</w:t>
            </w:r>
          </w:p>
          <w:p>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(25分)   </w:t>
            </w: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施工方法及主要技术措施</w:t>
            </w:r>
          </w:p>
          <w:p>
            <w:pPr>
              <w:spacing w:before="48" w:beforeLines="20"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（4分）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方法措施科学合理得2.41-4.00分</w:t>
            </w:r>
          </w:p>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方法措施</w:t>
            </w:r>
            <w:r>
              <w:rPr>
                <w:rFonts w:hint="eastAsia" w:ascii="宋体" w:hAnsi="宋体" w:eastAsia="宋体" w:cs="宋体"/>
                <w:color w:val="auto"/>
                <w:szCs w:val="21"/>
                <w:highlight w:val="none"/>
              </w:rPr>
              <w:t>较科学合理</w:t>
            </w:r>
            <w:r>
              <w:rPr>
                <w:rFonts w:hint="eastAsia" w:ascii="宋体" w:hAnsi="宋体" w:eastAsia="宋体" w:cs="宋体"/>
                <w:color w:val="auto"/>
                <w:szCs w:val="21"/>
                <w:highlight w:val="none"/>
                <w:lang w:bidi="ar"/>
              </w:rPr>
              <w:t>得1.21-2.40分</w:t>
            </w:r>
          </w:p>
          <w:p>
            <w:pPr>
              <w:spacing w:line="360" w:lineRule="exact"/>
              <w:ind w:left="23" w:leftChars="10" w:right="21" w:rightChars="10" w:hanging="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方法措施一般得0-1.20分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施工进度计划及保证措施</w:t>
            </w:r>
          </w:p>
          <w:p>
            <w:pPr>
              <w:spacing w:before="48" w:beforeLines="20"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（6分）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对工程进度总体安排表述清晰，全面可行得3.61-6.00分</w:t>
            </w:r>
          </w:p>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对工程进度总体安排表述清晰得1.81-3.60分</w:t>
            </w:r>
          </w:p>
          <w:p>
            <w:pPr>
              <w:spacing w:line="360" w:lineRule="exact"/>
              <w:ind w:left="23" w:leftChars="10" w:right="21" w:rightChars="10" w:hanging="2"/>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工程进度计划与措施内容有缺陷得0.00-1.80分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jc w:val="center"/>
        </w:trPr>
        <w:tc>
          <w:tcPr>
            <w:tcW w:w="675"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p>
        </w:tc>
        <w:tc>
          <w:tcPr>
            <w:tcW w:w="2796" w:type="dxa"/>
            <w:tcBorders>
              <w:top w:val="single" w:color="auto" w:sz="4" w:space="0"/>
              <w:left w:val="single" w:color="auto" w:sz="4" w:space="0"/>
              <w:bottom w:val="single" w:color="auto" w:sz="4" w:space="0"/>
              <w:right w:val="single" w:color="auto" w:sz="4" w:space="0"/>
            </w:tcBorders>
            <w:vAlign w:val="center"/>
          </w:tcPr>
          <w:p>
            <w:pPr>
              <w:spacing w:before="48" w:beforeLines="2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工程质量保证措施</w:t>
            </w:r>
          </w:p>
          <w:p>
            <w:pPr>
              <w:spacing w:before="48" w:beforeLines="20"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（6分）</w:t>
            </w:r>
          </w:p>
        </w:tc>
        <w:tc>
          <w:tcPr>
            <w:tcW w:w="47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质量保证措施全面可行，科学合理得3.61-6.00分</w:t>
            </w: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质量保证措施基本可行，较合理得1.81-3.60分</w:t>
            </w:r>
          </w:p>
          <w:p>
            <w:pPr>
              <w:spacing w:line="360" w:lineRule="exac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质量保证措施有缺陷得0.00-1.80分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675"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jc w:val="center"/>
              <w:rPr>
                <w:rFonts w:hint="eastAsia" w:ascii="宋体" w:hAnsi="宋体" w:eastAsia="宋体" w:cs="宋体"/>
                <w:color w:val="auto"/>
                <w:szCs w:val="21"/>
                <w:highlight w:val="none"/>
              </w:rPr>
            </w:pPr>
          </w:p>
        </w:tc>
        <w:tc>
          <w:tcPr>
            <w:tcW w:w="2796" w:type="dxa"/>
            <w:tcBorders>
              <w:top w:val="single" w:color="auto" w:sz="4" w:space="0"/>
              <w:left w:val="single" w:color="auto" w:sz="4" w:space="0"/>
              <w:right w:val="single" w:color="auto" w:sz="4" w:space="0"/>
            </w:tcBorders>
            <w:vAlign w:val="center"/>
          </w:tcPr>
          <w:p>
            <w:pPr>
              <w:spacing w:before="48" w:beforeLines="2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安全生产及文明施工措施</w:t>
            </w:r>
          </w:p>
          <w:p>
            <w:pPr>
              <w:spacing w:before="48" w:beforeLines="20"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（6分）</w:t>
            </w:r>
          </w:p>
        </w:tc>
        <w:tc>
          <w:tcPr>
            <w:tcW w:w="4709" w:type="dxa"/>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宋体"/>
                <w:color w:val="auto"/>
                <w:spacing w:val="-11"/>
                <w:szCs w:val="21"/>
                <w:highlight w:val="none"/>
              </w:rPr>
            </w:pPr>
            <w:r>
              <w:rPr>
                <w:rFonts w:hint="eastAsia" w:ascii="宋体" w:hAnsi="宋体" w:eastAsia="宋体" w:cs="宋体"/>
                <w:color w:val="auto"/>
                <w:spacing w:val="-11"/>
                <w:szCs w:val="21"/>
                <w:highlight w:val="none"/>
              </w:rPr>
              <w:t>完善并具备符合性、有效性及可行性得3.61-6.00分</w:t>
            </w: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安全管理体系与措施较完善得1.81-3.60分</w:t>
            </w:r>
          </w:p>
          <w:p>
            <w:pPr>
              <w:spacing w:line="360" w:lineRule="exac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安全管理体系与措施内容有缺陷得0.00-1.80分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vMerge w:val="continue"/>
            <w:tcBorders>
              <w:left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rPr>
            </w:pPr>
          </w:p>
        </w:tc>
        <w:tc>
          <w:tcPr>
            <w:tcW w:w="1218" w:type="dxa"/>
            <w:vMerge w:val="continue"/>
            <w:tcBorders>
              <w:left w:val="single" w:color="auto" w:sz="4" w:space="0"/>
              <w:right w:val="single" w:color="auto" w:sz="4" w:space="0"/>
            </w:tcBorders>
            <w:vAlign w:val="center"/>
          </w:tcPr>
          <w:p>
            <w:pPr>
              <w:spacing w:line="360" w:lineRule="exact"/>
              <w:jc w:val="center"/>
              <w:rPr>
                <w:rFonts w:hint="eastAsia" w:ascii="宋体" w:hAnsi="宋体" w:eastAsia="宋体" w:cs="宋体"/>
                <w:color w:val="auto"/>
                <w:szCs w:val="21"/>
                <w:highlight w:val="none"/>
              </w:rPr>
            </w:pPr>
          </w:p>
        </w:tc>
        <w:tc>
          <w:tcPr>
            <w:tcW w:w="2796" w:type="dxa"/>
            <w:tcBorders>
              <w:top w:val="single" w:color="auto" w:sz="4" w:space="0"/>
              <w:left w:val="single" w:color="auto" w:sz="4" w:space="0"/>
              <w:right w:val="single" w:color="auto" w:sz="4" w:space="0"/>
            </w:tcBorders>
            <w:vAlign w:val="center"/>
          </w:tcPr>
          <w:p>
            <w:pPr>
              <w:spacing w:before="48" w:beforeLines="20"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主要施工机具、劳动力使用计划（3分）</w:t>
            </w:r>
          </w:p>
        </w:tc>
        <w:tc>
          <w:tcPr>
            <w:tcW w:w="4709" w:type="dxa"/>
            <w:tcBorders>
              <w:top w:val="single" w:color="auto" w:sz="4" w:space="0"/>
              <w:left w:val="single" w:color="auto" w:sz="4" w:space="0"/>
              <w:right w:val="single" w:color="auto" w:sz="4" w:space="0"/>
            </w:tcBorders>
            <w:vAlign w:val="center"/>
          </w:tcPr>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科学合理得1.81-3.00分</w:t>
            </w:r>
          </w:p>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较科学合理</w:t>
            </w:r>
            <w:r>
              <w:rPr>
                <w:rFonts w:hint="eastAsia" w:ascii="宋体" w:hAnsi="宋体" w:eastAsia="宋体" w:cs="宋体"/>
                <w:color w:val="auto"/>
                <w:szCs w:val="21"/>
                <w:highlight w:val="none"/>
                <w:lang w:bidi="ar"/>
              </w:rPr>
              <w:t>得0.91-1.80分</w:t>
            </w:r>
          </w:p>
          <w:p>
            <w:pPr>
              <w:spacing w:line="360" w:lineRule="exact"/>
              <w:ind w:left="23" w:leftChars="10" w:right="21" w:rightChars="10" w:hanging="2"/>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一般得0-0.90分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tcBorders>
              <w:left w:val="single" w:color="auto" w:sz="4" w:space="0"/>
              <w:right w:val="single" w:color="auto" w:sz="4" w:space="0"/>
            </w:tcBorders>
            <w:vAlign w:val="center"/>
          </w:tcPr>
          <w:p>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1218" w:type="dxa"/>
            <w:tcBorders>
              <w:left w:val="single" w:color="auto" w:sz="4" w:space="0"/>
              <w:right w:val="single" w:color="auto" w:sz="4" w:space="0"/>
            </w:tcBorders>
            <w:vAlign w:val="center"/>
          </w:tcPr>
          <w:p>
            <w:pPr>
              <w:tabs>
                <w:tab w:val="left" w:pos="36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商务部分评分标准</w:t>
            </w:r>
          </w:p>
          <w:p>
            <w:pPr>
              <w:autoSpaceDE w:val="0"/>
              <w:autoSpaceDN w:val="0"/>
              <w:adjustRightInd w:val="0"/>
              <w:snapToGrid w:val="0"/>
              <w:spacing w:line="360" w:lineRule="exact"/>
              <w:ind w:left="105" w:leftChars="50" w:right="105" w:rightChars="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(5分)</w:t>
            </w:r>
          </w:p>
        </w:tc>
        <w:tc>
          <w:tcPr>
            <w:tcW w:w="2796"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ind w:left="105" w:leftChars="50" w:right="105" w:rightChars="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同类业绩</w:t>
            </w:r>
          </w:p>
          <w:p>
            <w:pPr>
              <w:autoSpaceDE w:val="0"/>
              <w:autoSpaceDN w:val="0"/>
              <w:adjustRightInd w:val="0"/>
              <w:snapToGrid w:val="0"/>
              <w:spacing w:line="360" w:lineRule="exact"/>
              <w:ind w:left="105" w:leftChars="50" w:right="105" w:rightChars="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（5分）</w:t>
            </w:r>
          </w:p>
        </w:tc>
        <w:tc>
          <w:tcPr>
            <w:tcW w:w="4709" w:type="dxa"/>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ind w:left="105" w:leftChars="50" w:right="105" w:rightChars="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供应商每具有一个202</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02</w:t>
            </w:r>
            <w:r>
              <w:rPr>
                <w:rFonts w:hint="eastAsia" w:ascii="宋体" w:hAnsi="宋体" w:eastAsia="宋体" w:cs="宋体"/>
                <w:color w:val="auto"/>
                <w:kern w:val="0"/>
                <w:szCs w:val="21"/>
                <w:highlight w:val="none"/>
              </w:rPr>
              <w:t>月01日至今（以合同签订时间为准）的</w:t>
            </w:r>
            <w:r>
              <w:rPr>
                <w:rFonts w:hint="eastAsia" w:ascii="宋体" w:hAnsi="宋体" w:eastAsia="宋体" w:cs="宋体"/>
                <w:color w:val="auto"/>
                <w:kern w:val="0"/>
                <w:szCs w:val="21"/>
                <w:highlight w:val="none"/>
                <w:lang w:val="en-US" w:eastAsia="zh-CN"/>
              </w:rPr>
              <w:t>热力类</w:t>
            </w:r>
            <w:r>
              <w:rPr>
                <w:rFonts w:hint="eastAsia" w:ascii="宋体" w:hAnsi="宋体" w:eastAsia="宋体" w:cs="宋体"/>
                <w:color w:val="auto"/>
                <w:kern w:val="0"/>
                <w:szCs w:val="21"/>
                <w:highlight w:val="none"/>
              </w:rPr>
              <w:t>劳务</w:t>
            </w:r>
            <w:r>
              <w:rPr>
                <w:rFonts w:hint="eastAsia" w:ascii="宋体" w:hAnsi="宋体" w:eastAsia="宋体" w:cs="宋体"/>
                <w:color w:val="auto"/>
                <w:kern w:val="0"/>
                <w:szCs w:val="21"/>
                <w:highlight w:val="none"/>
                <w:lang w:val="en-US" w:eastAsia="zh-CN"/>
              </w:rPr>
              <w:t>分包</w:t>
            </w:r>
            <w:r>
              <w:rPr>
                <w:rFonts w:hint="eastAsia" w:ascii="宋体" w:hAnsi="宋体" w:eastAsia="宋体" w:cs="宋体"/>
                <w:color w:val="auto"/>
                <w:kern w:val="0"/>
                <w:szCs w:val="21"/>
                <w:highlight w:val="none"/>
              </w:rPr>
              <w:t>业绩得2分，最高得5分。须在响应文件中附合同协议书原件扫描件。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2.4</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最终评分计算方法</w:t>
            </w:r>
          </w:p>
        </w:tc>
        <w:tc>
          <w:tcPr>
            <w:tcW w:w="75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①各供应商的技术部分得分均为评审小组所有成员打分的平均值；</w:t>
            </w: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②供应商最终得分=报价部分得分+技术部分得分+商务部分得分。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注意事项</w:t>
            </w:r>
          </w:p>
        </w:tc>
        <w:tc>
          <w:tcPr>
            <w:tcW w:w="750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1" w:leftChars="10" w:right="21" w:rightChars="1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综合得分并列第一的响应单位以报价部分得分最高者为拟中选单位。</w:t>
            </w:r>
          </w:p>
        </w:tc>
      </w:tr>
    </w:tbl>
    <w:p>
      <w:pPr>
        <w:pStyle w:val="12"/>
        <w:rPr>
          <w:rFonts w:hint="eastAsia" w:ascii="宋体" w:hAnsi="宋体" w:eastAsia="宋体" w:cs="宋体"/>
          <w:color w:val="auto"/>
          <w:kern w:val="0"/>
          <w:highlight w:val="none"/>
          <w:lang w:bidi="ar"/>
        </w:rPr>
      </w:pP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（2）推荐中标候选人：</w:t>
      </w:r>
    </w:p>
    <w:p>
      <w:pPr>
        <w:widowControl/>
        <w:spacing w:line="500" w:lineRule="exact"/>
        <w:ind w:firstLine="480" w:firstLineChars="200"/>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评审小组按评标办法对各响应单位进行评审，汇总各评委的有效评审结果，按照</w:t>
      </w:r>
      <w:r>
        <w:rPr>
          <w:rFonts w:hint="eastAsia" w:ascii="宋体" w:hAnsi="宋体" w:eastAsia="宋体" w:cs="宋体"/>
          <w:color w:val="auto"/>
          <w:sz w:val="24"/>
          <w:highlight w:val="none"/>
          <w:lang w:bidi="ar"/>
        </w:rPr>
        <w:t>综合得分由高到低顺序排序</w:t>
      </w:r>
      <w:r>
        <w:rPr>
          <w:rFonts w:hint="eastAsia" w:ascii="宋体" w:hAnsi="宋体" w:eastAsia="宋体" w:cs="宋体"/>
          <w:color w:val="auto"/>
          <w:kern w:val="0"/>
          <w:sz w:val="24"/>
          <w:highlight w:val="none"/>
          <w:lang w:bidi="ar"/>
        </w:rPr>
        <w:t>，推荐前三名为中标候选人。</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中选人：授权评审小组确定排名第一的中选候选人为中选人。评审小组提出书面评审报告。排名第一的中标候选人放弃中标、因不可抗力不能履行合同或者被查实存在影响中标结果的违法行为等情形，不符合中标条件的，比选单位可以按照评审小组提出的中标候选人名单排序依次确定其他中标候选人为中选人，也可以重新招标。</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b/>
          <w:bCs/>
          <w:color w:val="auto"/>
          <w:sz w:val="24"/>
          <w:highlight w:val="none"/>
        </w:rPr>
        <w:t>（4）评审过程中有效响应文件不足3个，明显缺乏竞争的，评审小组应否决全部投标，重新比选。</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2.保密：</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（1）有关响应单位的任何情况均不透露给任一响应单位。</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（2）凡是属于审查、澄清、评价和比较的有关资料以及授权建议等均不得向响应单位或其他无关的人员透露。</w:t>
      </w:r>
    </w:p>
    <w:p>
      <w:pPr>
        <w:widowControl/>
        <w:spacing w:line="500" w:lineRule="exac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（3）在评标过程中，响应单位所进行的试图影响评标结果的不符合招标规定的努力，可能导致其被取消中标资格。</w:t>
      </w:r>
    </w:p>
    <w:p>
      <w:pPr>
        <w:pStyle w:val="6"/>
        <w:jc w:val="center"/>
        <w:rPr>
          <w:rFonts w:hint="eastAsia" w:ascii="宋体" w:hAnsi="宋体" w:eastAsia="宋体" w:cs="宋体"/>
          <w:color w:val="auto"/>
          <w:sz w:val="36"/>
          <w:szCs w:val="36"/>
          <w:highlight w:val="none"/>
        </w:rPr>
      </w:pPr>
    </w:p>
    <w:p>
      <w:pPr>
        <w:rPr>
          <w:rFonts w:hint="eastAsia" w:ascii="宋体" w:hAnsi="宋体" w:eastAsia="宋体" w:cs="宋体"/>
          <w:color w:val="auto"/>
          <w:sz w:val="36"/>
          <w:szCs w:val="36"/>
          <w:highlight w:val="none"/>
        </w:rPr>
      </w:pPr>
    </w:p>
    <w:p>
      <w:pPr>
        <w:pStyle w:val="2"/>
        <w:rPr>
          <w:rFonts w:hint="eastAsia" w:ascii="宋体" w:hAnsi="宋体" w:eastAsia="宋体" w:cs="宋体"/>
          <w:color w:val="auto"/>
          <w:sz w:val="36"/>
          <w:szCs w:val="36"/>
          <w:highlight w:val="none"/>
        </w:rPr>
      </w:pPr>
    </w:p>
    <w:p>
      <w:pPr>
        <w:rPr>
          <w:rFonts w:hint="eastAsia" w:ascii="宋体" w:hAnsi="宋体" w:eastAsia="宋体" w:cs="宋体"/>
          <w:color w:val="auto"/>
          <w:sz w:val="36"/>
          <w:szCs w:val="36"/>
          <w:highlight w:val="none"/>
        </w:rPr>
      </w:pPr>
    </w:p>
    <w:p>
      <w:pPr>
        <w:pStyle w:val="2"/>
        <w:rPr>
          <w:rFonts w:hint="eastAsia" w:ascii="宋体" w:hAnsi="宋体" w:eastAsia="宋体" w:cs="宋体"/>
          <w:color w:val="auto"/>
          <w:sz w:val="36"/>
          <w:szCs w:val="36"/>
          <w:highlight w:val="none"/>
        </w:rPr>
      </w:pPr>
    </w:p>
    <w:p>
      <w:pPr>
        <w:rPr>
          <w:rFonts w:hint="eastAsia" w:ascii="宋体" w:hAnsi="宋体" w:eastAsia="宋体" w:cs="宋体"/>
          <w:color w:val="auto"/>
          <w:sz w:val="36"/>
          <w:szCs w:val="36"/>
          <w:highlight w:val="none"/>
        </w:rPr>
      </w:pPr>
    </w:p>
    <w:p>
      <w:pPr>
        <w:pStyle w:val="2"/>
        <w:rPr>
          <w:rFonts w:hint="eastAsia" w:ascii="宋体" w:hAnsi="宋体" w:eastAsia="宋体" w:cs="宋体"/>
          <w:color w:val="auto"/>
          <w:sz w:val="36"/>
          <w:szCs w:val="36"/>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sz w:val="36"/>
          <w:szCs w:val="36"/>
          <w:highlight w:val="none"/>
        </w:rPr>
      </w:pPr>
    </w:p>
    <w:p>
      <w:pPr>
        <w:pStyle w:val="12"/>
        <w:rPr>
          <w:rFonts w:hint="eastAsia" w:ascii="宋体" w:hAnsi="宋体" w:eastAsia="宋体" w:cs="宋体"/>
          <w:color w:val="auto"/>
          <w:highlight w:val="none"/>
        </w:rPr>
      </w:pPr>
    </w:p>
    <w:p>
      <w:pPr>
        <w:pStyle w:val="6"/>
        <w:jc w:val="center"/>
        <w:rPr>
          <w:rFonts w:hint="eastAsia" w:ascii="宋体" w:hAnsi="宋体" w:eastAsia="宋体" w:cs="宋体"/>
          <w:color w:val="auto"/>
          <w:sz w:val="36"/>
          <w:szCs w:val="36"/>
          <w:highlight w:val="none"/>
        </w:rPr>
      </w:pPr>
      <w:bookmarkStart w:id="18" w:name="_Toc28649"/>
      <w:r>
        <w:rPr>
          <w:rFonts w:hint="eastAsia" w:ascii="宋体" w:hAnsi="宋体" w:eastAsia="宋体" w:cs="宋体"/>
          <w:color w:val="auto"/>
          <w:sz w:val="36"/>
          <w:szCs w:val="36"/>
          <w:highlight w:val="none"/>
        </w:rPr>
        <w:t>第五章 响应文件格式</w:t>
      </w:r>
      <w:bookmarkEnd w:id="18"/>
    </w:p>
    <w:p>
      <w:pPr>
        <w:rPr>
          <w:rFonts w:hint="eastAsia" w:ascii="宋体" w:hAnsi="宋体" w:eastAsia="宋体" w:cs="宋体"/>
          <w:color w:val="auto"/>
          <w:sz w:val="24"/>
          <w:szCs w:val="32"/>
          <w:highlight w:val="none"/>
        </w:rPr>
      </w:pPr>
    </w:p>
    <w:p>
      <w:pPr>
        <w:widowControl/>
        <w:autoSpaceDE w:val="0"/>
        <w:autoSpaceDN w:val="0"/>
        <w:adjustRightInd w:val="0"/>
        <w:spacing w:line="360" w:lineRule="auto"/>
        <w:jc w:val="right"/>
        <w:rPr>
          <w:rFonts w:hint="eastAsia" w:ascii="宋体" w:hAnsi="宋体" w:eastAsia="宋体" w:cs="宋体"/>
          <w:color w:val="auto"/>
          <w:kern w:val="0"/>
          <w:szCs w:val="21"/>
          <w:highlight w:val="none"/>
        </w:rPr>
      </w:pPr>
    </w:p>
    <w:p>
      <w:pPr>
        <w:spacing w:line="360" w:lineRule="auto"/>
        <w:jc w:val="center"/>
        <w:rPr>
          <w:rFonts w:hint="eastAsia" w:ascii="宋体" w:hAnsi="宋体" w:eastAsia="宋体" w:cs="宋体"/>
          <w:b/>
          <w:bCs/>
          <w:color w:val="auto"/>
          <w:sz w:val="160"/>
          <w:szCs w:val="160"/>
          <w:highlight w:val="none"/>
        </w:rPr>
      </w:pPr>
      <w:r>
        <w:rPr>
          <w:rFonts w:hint="eastAsia" w:ascii="宋体" w:hAnsi="宋体" w:eastAsia="宋体" w:cs="宋体"/>
          <w:b/>
          <w:bCs/>
          <w:color w:val="auto"/>
          <w:sz w:val="56"/>
          <w:szCs w:val="52"/>
          <w:highlight w:val="none"/>
        </w:rPr>
        <w:t xml:space="preserve"> </w:t>
      </w:r>
      <w:r>
        <w:rPr>
          <w:rFonts w:hint="eastAsia" w:ascii="宋体" w:hAnsi="宋体" w:eastAsia="宋体" w:cs="宋体"/>
          <w:b/>
          <w:bCs/>
          <w:color w:val="auto"/>
          <w:sz w:val="48"/>
          <w:szCs w:val="48"/>
          <w:highlight w:val="none"/>
          <w:lang w:eastAsia="zh-CN"/>
        </w:rPr>
        <w:t xml:space="preserve">高柱城中村改造项目三期商品区地(3#-2)项目供热工程劳务分包采购 </w:t>
      </w:r>
      <w:r>
        <w:rPr>
          <w:rFonts w:hint="eastAsia" w:ascii="宋体" w:hAnsi="宋体" w:eastAsia="宋体" w:cs="宋体"/>
          <w:b/>
          <w:bCs/>
          <w:color w:val="auto"/>
          <w:sz w:val="48"/>
          <w:szCs w:val="48"/>
          <w:highlight w:val="none"/>
        </w:rPr>
        <w:t xml:space="preserve"> </w:t>
      </w:r>
    </w:p>
    <w:p>
      <w:pPr>
        <w:rPr>
          <w:rFonts w:hint="eastAsia" w:ascii="宋体" w:hAnsi="宋体" w:eastAsia="宋体" w:cs="宋体"/>
          <w:b/>
          <w:bCs/>
          <w:color w:val="auto"/>
          <w:sz w:val="72"/>
          <w:szCs w:val="72"/>
          <w:highlight w:val="none"/>
        </w:rPr>
      </w:pPr>
    </w:p>
    <w:p>
      <w:pPr>
        <w:pStyle w:val="2"/>
        <w:rPr>
          <w:rFonts w:hint="eastAsia" w:ascii="宋体" w:hAnsi="宋体" w:eastAsia="宋体" w:cs="宋体"/>
          <w:color w:val="auto"/>
          <w:highlight w:val="none"/>
        </w:rPr>
      </w:pPr>
    </w:p>
    <w:p>
      <w:pPr>
        <w:pStyle w:val="12"/>
        <w:rPr>
          <w:rFonts w:hint="eastAsia" w:ascii="宋体" w:hAnsi="宋体" w:eastAsia="宋体" w:cs="宋体"/>
          <w:b/>
          <w:bCs/>
          <w:color w:val="auto"/>
          <w:sz w:val="72"/>
          <w:szCs w:val="72"/>
          <w:highlight w:val="none"/>
        </w:rPr>
      </w:pPr>
    </w:p>
    <w:p>
      <w:pPr>
        <w:pStyle w:val="2"/>
        <w:tabs>
          <w:tab w:val="left" w:pos="1354"/>
          <w:tab w:val="clear" w:pos="1155"/>
        </w:tabs>
        <w:jc w:val="center"/>
        <w:rPr>
          <w:rFonts w:hint="eastAsia" w:ascii="宋体" w:hAnsi="宋体" w:eastAsia="宋体" w:cs="宋体"/>
          <w:color w:val="auto"/>
          <w:sz w:val="48"/>
          <w:szCs w:val="48"/>
          <w:highlight w:val="none"/>
        </w:rPr>
      </w:pPr>
      <w:r>
        <w:rPr>
          <w:rFonts w:hint="eastAsia" w:ascii="宋体" w:hAnsi="宋体" w:eastAsia="宋体" w:cs="宋体"/>
          <w:b/>
          <w:bCs/>
          <w:color w:val="auto"/>
          <w:sz w:val="72"/>
          <w:szCs w:val="72"/>
          <w:highlight w:val="none"/>
        </w:rPr>
        <w:t>响  应  文  件</w:t>
      </w:r>
    </w:p>
    <w:p>
      <w:pPr>
        <w:pStyle w:val="2"/>
        <w:tabs>
          <w:tab w:val="left" w:pos="8280"/>
          <w:tab w:val="clear" w:pos="1155"/>
        </w:tabs>
        <w:ind w:firstLine="2240" w:firstLineChars="700"/>
        <w:rPr>
          <w:rFonts w:hint="eastAsia" w:ascii="宋体" w:hAnsi="宋体" w:eastAsia="宋体" w:cs="宋体"/>
          <w:color w:val="auto"/>
          <w:sz w:val="32"/>
          <w:szCs w:val="32"/>
          <w:highlight w:val="none"/>
        </w:rPr>
      </w:pPr>
    </w:p>
    <w:p>
      <w:pPr>
        <w:pStyle w:val="2"/>
        <w:tabs>
          <w:tab w:val="left" w:pos="8280"/>
          <w:tab w:val="clear" w:pos="1155"/>
        </w:tabs>
        <w:ind w:firstLine="3012" w:firstLineChars="1000"/>
        <w:rPr>
          <w:rFonts w:hint="eastAsia" w:ascii="宋体" w:hAnsi="宋体" w:eastAsia="宋体" w:cs="宋体"/>
          <w:b/>
          <w:bCs/>
          <w:color w:val="auto"/>
          <w:sz w:val="30"/>
          <w:szCs w:val="30"/>
          <w:highlight w:val="none"/>
        </w:rPr>
      </w:pPr>
    </w:p>
    <w:p>
      <w:pPr>
        <w:pStyle w:val="2"/>
        <w:tabs>
          <w:tab w:val="left" w:pos="8280"/>
          <w:tab w:val="clear" w:pos="1155"/>
        </w:tabs>
        <w:ind w:firstLine="688"/>
        <w:rPr>
          <w:rFonts w:hint="eastAsia" w:ascii="宋体" w:hAnsi="宋体" w:eastAsia="宋体" w:cs="宋体"/>
          <w:color w:val="auto"/>
          <w:sz w:val="32"/>
          <w:szCs w:val="32"/>
          <w:highlight w:val="none"/>
        </w:rPr>
      </w:pPr>
    </w:p>
    <w:p>
      <w:pPr>
        <w:pStyle w:val="2"/>
        <w:tabs>
          <w:tab w:val="left" w:pos="8280"/>
          <w:tab w:val="clear" w:pos="1155"/>
        </w:tabs>
        <w:ind w:firstLine="688"/>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pStyle w:val="12"/>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pStyle w:val="2"/>
        <w:rPr>
          <w:rFonts w:hint="eastAsia" w:ascii="宋体" w:hAnsi="宋体" w:eastAsia="宋体" w:cs="宋体"/>
          <w:color w:val="auto"/>
          <w:sz w:val="32"/>
          <w:szCs w:val="32"/>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widowControl/>
        <w:spacing w:line="600" w:lineRule="exact"/>
        <w:ind w:firstLine="1184" w:firstLineChars="393"/>
        <w:rPr>
          <w:rFonts w:hint="eastAsia" w:ascii="宋体" w:hAnsi="宋体" w:eastAsia="宋体" w:cs="宋体"/>
          <w:b/>
          <w:color w:val="auto"/>
          <w:kern w:val="0"/>
          <w:sz w:val="30"/>
          <w:szCs w:val="30"/>
          <w:highlight w:val="none"/>
          <w:u w:val="single"/>
        </w:rPr>
      </w:pPr>
      <w:r>
        <w:rPr>
          <w:rFonts w:hint="eastAsia" w:ascii="宋体" w:hAnsi="宋体" w:eastAsia="宋体" w:cs="宋体"/>
          <w:b/>
          <w:color w:val="auto"/>
          <w:sz w:val="30"/>
          <w:szCs w:val="30"/>
          <w:highlight w:val="none"/>
        </w:rPr>
        <w:t>响应单位：</w:t>
      </w:r>
      <w:r>
        <w:rPr>
          <w:rFonts w:hint="eastAsia" w:ascii="宋体" w:hAnsi="宋体" w:eastAsia="宋体" w:cs="宋体"/>
          <w:b/>
          <w:color w:val="auto"/>
          <w:sz w:val="30"/>
          <w:szCs w:val="30"/>
          <w:highlight w:val="none"/>
          <w:u w:val="single"/>
        </w:rPr>
        <w:t>（全称并加盖单位公章）</w:t>
      </w:r>
    </w:p>
    <w:p>
      <w:pPr>
        <w:widowControl/>
        <w:spacing w:line="600" w:lineRule="exact"/>
        <w:ind w:firstLine="1184" w:firstLineChars="393"/>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法定代表人或其委托代理人：</w:t>
      </w:r>
      <w:r>
        <w:rPr>
          <w:rFonts w:hint="eastAsia" w:ascii="宋体" w:hAnsi="宋体" w:eastAsia="宋体" w:cs="宋体"/>
          <w:b/>
          <w:color w:val="auto"/>
          <w:kern w:val="0"/>
          <w:sz w:val="30"/>
          <w:szCs w:val="30"/>
          <w:highlight w:val="none"/>
          <w:u w:val="single"/>
        </w:rPr>
        <w:t xml:space="preserve">         </w:t>
      </w:r>
      <w:r>
        <w:rPr>
          <w:rFonts w:hint="eastAsia" w:ascii="宋体" w:hAnsi="宋体" w:eastAsia="宋体" w:cs="宋体"/>
          <w:b/>
          <w:color w:val="auto"/>
          <w:kern w:val="0"/>
          <w:sz w:val="30"/>
          <w:szCs w:val="30"/>
          <w:highlight w:val="none"/>
        </w:rPr>
        <w:t>（印鉴或签字）</w:t>
      </w:r>
    </w:p>
    <w:p>
      <w:pPr>
        <w:widowControl/>
        <w:spacing w:line="600" w:lineRule="exact"/>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年   月   日</w:t>
      </w:r>
    </w:p>
    <w:p>
      <w:pPr>
        <w:pStyle w:val="20"/>
        <w:tabs>
          <w:tab w:val="right" w:leader="dot" w:pos="8958"/>
        </w:tabs>
        <w:ind w:left="0" w:leftChars="0"/>
        <w:jc w:val="center"/>
        <w:rPr>
          <w:rFonts w:hint="eastAsia" w:ascii="宋体" w:hAnsi="宋体" w:eastAsia="宋体" w:cs="宋体"/>
          <w:b/>
          <w:bCs/>
          <w:color w:val="auto"/>
          <w:sz w:val="36"/>
          <w:szCs w:val="36"/>
          <w:highlight w:val="none"/>
        </w:rPr>
      </w:pPr>
    </w:p>
    <w:p>
      <w:pPr>
        <w:pStyle w:val="20"/>
        <w:tabs>
          <w:tab w:val="right" w:leader="dot" w:pos="8958"/>
        </w:tabs>
        <w:ind w:left="0" w:leftChars="0"/>
        <w:jc w:val="center"/>
        <w:rPr>
          <w:rFonts w:hint="eastAsia" w:ascii="宋体" w:hAnsi="宋体" w:eastAsia="宋体" w:cs="宋体"/>
          <w:b/>
          <w:bCs/>
          <w:color w:val="auto"/>
          <w:sz w:val="36"/>
          <w:szCs w:val="36"/>
          <w:highlight w:val="none"/>
        </w:rPr>
      </w:pPr>
    </w:p>
    <w:p>
      <w:pPr>
        <w:pStyle w:val="20"/>
        <w:tabs>
          <w:tab w:val="right" w:leader="dot" w:pos="8958"/>
        </w:tabs>
        <w:ind w:left="0" w:leftChars="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TOC \o "1-2" \h \u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_Toc10115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一、投标函</w:t>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二、营业执照</w:t>
      </w:r>
      <w:r>
        <w:rPr>
          <w:rFonts w:hint="eastAsia" w:ascii="宋体" w:hAnsi="宋体" w:eastAsia="宋体" w:cs="宋体"/>
          <w:bCs/>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"_Toc21198"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8"/>
          <w:szCs w:val="28"/>
          <w:highlight w:val="none"/>
        </w:rPr>
        <w:t>三</w:t>
      </w:r>
      <w:r>
        <w:rPr>
          <w:rFonts w:hint="eastAsia" w:ascii="宋体" w:hAnsi="宋体" w:eastAsia="宋体" w:cs="宋体"/>
          <w:color w:val="auto"/>
          <w:sz w:val="28"/>
          <w:szCs w:val="28"/>
          <w:highlight w:val="none"/>
        </w:rPr>
        <w:t>、施工劳务企业资质证书</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"_Toc19454"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四、安全生产许可证</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"_Toc21480"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五、开户许可证或基本存款账户信息证明</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"_Toc29609"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六、法定代表人身份证明及法定代表人授权委托书</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"_Toc30751"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七、供应商基本情况表</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bCs/>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"_Toc24831"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八、近三年类似业绩</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"_Toc8006"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九、承诺书</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"_Toc9901"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十、劳务清单报价表</w:t>
      </w:r>
      <w:r>
        <w:rPr>
          <w:rFonts w:hint="eastAsia" w:ascii="宋体" w:hAnsi="宋体" w:eastAsia="宋体" w:cs="宋体"/>
          <w:color w:val="auto"/>
          <w:sz w:val="28"/>
          <w:szCs w:val="28"/>
          <w:highlight w:val="none"/>
        </w:rPr>
        <w:fldChar w:fldCharType="end"/>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_Toc756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十一、技术方案</w:t>
      </w:r>
    </w:p>
    <w:p>
      <w:pPr>
        <w:pStyle w:val="20"/>
        <w:tabs>
          <w:tab w:val="right" w:leader="dot" w:pos="8958"/>
        </w:tabs>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十二、其他资料</w:t>
      </w:r>
      <w:r>
        <w:rPr>
          <w:rFonts w:hint="eastAsia" w:ascii="宋体" w:hAnsi="宋体" w:eastAsia="宋体" w:cs="宋体"/>
          <w:bCs/>
          <w:color w:val="auto"/>
          <w:sz w:val="28"/>
          <w:szCs w:val="28"/>
          <w:highlight w:val="none"/>
        </w:rPr>
        <w:fldChar w:fldCharType="end"/>
      </w:r>
    </w:p>
    <w:p>
      <w:pPr>
        <w:pStyle w:val="12"/>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fldChar w:fldCharType="end"/>
      </w:r>
    </w:p>
    <w:p>
      <w:pPr>
        <w:rPr>
          <w:rFonts w:hint="eastAsia" w:ascii="宋体" w:hAnsi="宋体" w:eastAsia="宋体" w:cs="宋体"/>
          <w:bCs/>
          <w:color w:val="auto"/>
          <w:sz w:val="28"/>
          <w:szCs w:val="28"/>
          <w:highlight w:val="none"/>
        </w:rPr>
      </w:pPr>
    </w:p>
    <w:p>
      <w:pPr>
        <w:pStyle w:val="12"/>
        <w:rPr>
          <w:rFonts w:hint="eastAsia" w:ascii="宋体" w:hAnsi="宋体" w:eastAsia="宋体" w:cs="宋体"/>
          <w:bCs/>
          <w:color w:val="auto"/>
          <w:sz w:val="28"/>
          <w:szCs w:val="28"/>
          <w:highlight w:val="none"/>
        </w:rPr>
      </w:pPr>
    </w:p>
    <w:p>
      <w:pPr>
        <w:rPr>
          <w:rFonts w:hint="eastAsia" w:ascii="宋体" w:hAnsi="宋体" w:eastAsia="宋体" w:cs="宋体"/>
          <w:bCs/>
          <w:color w:val="auto"/>
          <w:sz w:val="28"/>
          <w:szCs w:val="28"/>
          <w:highlight w:val="none"/>
        </w:rPr>
      </w:pPr>
    </w:p>
    <w:p>
      <w:pPr>
        <w:pStyle w:val="12"/>
        <w:rPr>
          <w:rFonts w:hint="eastAsia" w:ascii="宋体" w:hAnsi="宋体" w:eastAsia="宋体" w:cs="宋体"/>
          <w:bCs/>
          <w:color w:val="auto"/>
          <w:sz w:val="28"/>
          <w:szCs w:val="28"/>
          <w:highlight w:val="none"/>
        </w:rPr>
      </w:pPr>
    </w:p>
    <w:p>
      <w:pPr>
        <w:rPr>
          <w:rFonts w:hint="eastAsia" w:ascii="宋体" w:hAnsi="宋体" w:eastAsia="宋体" w:cs="宋体"/>
          <w:bCs/>
          <w:color w:val="auto"/>
          <w:sz w:val="28"/>
          <w:szCs w:val="28"/>
          <w:highlight w:val="none"/>
        </w:rPr>
      </w:pPr>
    </w:p>
    <w:p>
      <w:pPr>
        <w:pStyle w:val="12"/>
        <w:rPr>
          <w:rFonts w:hint="eastAsia" w:ascii="宋体" w:hAnsi="宋体" w:eastAsia="宋体" w:cs="宋体"/>
          <w:bCs/>
          <w:color w:val="auto"/>
          <w:sz w:val="28"/>
          <w:szCs w:val="28"/>
          <w:highlight w:val="none"/>
        </w:rPr>
      </w:pPr>
    </w:p>
    <w:p>
      <w:pPr>
        <w:rPr>
          <w:rFonts w:hint="eastAsia" w:ascii="宋体" w:hAnsi="宋体" w:eastAsia="宋体" w:cs="宋体"/>
          <w:bCs/>
          <w:color w:val="auto"/>
          <w:sz w:val="28"/>
          <w:szCs w:val="28"/>
          <w:highlight w:val="none"/>
        </w:rPr>
      </w:pPr>
    </w:p>
    <w:p>
      <w:pPr>
        <w:pStyle w:val="12"/>
        <w:rPr>
          <w:rFonts w:hint="eastAsia" w:ascii="宋体" w:hAnsi="宋体" w:eastAsia="宋体" w:cs="宋体"/>
          <w:color w:val="auto"/>
          <w:highlight w:val="none"/>
        </w:rPr>
      </w:pPr>
    </w:p>
    <w:p>
      <w:pPr>
        <w:pStyle w:val="12"/>
        <w:rPr>
          <w:rFonts w:hint="eastAsia" w:ascii="宋体" w:hAnsi="宋体" w:eastAsia="宋体" w:cs="宋体"/>
          <w:bCs/>
          <w:color w:val="auto"/>
          <w:sz w:val="28"/>
          <w:szCs w:val="28"/>
          <w:highlight w:val="none"/>
        </w:rPr>
      </w:pPr>
    </w:p>
    <w:p>
      <w:pPr>
        <w:rPr>
          <w:rFonts w:hint="eastAsia" w:ascii="宋体" w:hAnsi="宋体" w:eastAsia="宋体" w:cs="宋体"/>
          <w:bCs/>
          <w:color w:val="auto"/>
          <w:sz w:val="28"/>
          <w:szCs w:val="28"/>
          <w:highlight w:val="none"/>
        </w:rPr>
      </w:pPr>
    </w:p>
    <w:p>
      <w:pPr>
        <w:pStyle w:val="12"/>
        <w:rPr>
          <w:rFonts w:hint="eastAsia" w:ascii="宋体" w:hAnsi="宋体" w:eastAsia="宋体" w:cs="宋体"/>
          <w:bCs/>
          <w:color w:val="auto"/>
          <w:sz w:val="28"/>
          <w:szCs w:val="28"/>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bCs/>
          <w:color w:val="auto"/>
          <w:sz w:val="28"/>
          <w:szCs w:val="28"/>
          <w:highlight w:val="none"/>
        </w:rPr>
      </w:pPr>
    </w:p>
    <w:p>
      <w:pPr>
        <w:pStyle w:val="12"/>
        <w:rPr>
          <w:rFonts w:hint="eastAsia" w:ascii="宋体" w:hAnsi="宋体" w:eastAsia="宋体" w:cs="宋体"/>
          <w:bCs/>
          <w:color w:val="auto"/>
          <w:sz w:val="28"/>
          <w:szCs w:val="28"/>
          <w:highlight w:val="none"/>
        </w:rPr>
      </w:pPr>
    </w:p>
    <w:p>
      <w:pPr>
        <w:pStyle w:val="21"/>
        <w:widowControl/>
        <w:spacing w:before="100" w:after="100" w:line="315" w:lineRule="atLeas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一、投  标  函</w:t>
      </w:r>
    </w:p>
    <w:p>
      <w:pPr>
        <w:keepNext w:val="0"/>
        <w:keepLines w:val="0"/>
        <w:pageBreakBefore w:val="0"/>
        <w:widowControl/>
        <w:kinsoku/>
        <w:wordWrap/>
        <w:overflowPunct/>
        <w:topLinePunct w:val="0"/>
        <w:autoSpaceDE w:val="0"/>
        <w:autoSpaceDN w:val="0"/>
        <w:bidi w:val="0"/>
        <w:adjustRightInd w:val="0"/>
        <w:spacing w:line="580" w:lineRule="exact"/>
        <w:ind w:left="240" w:hanging="240" w:hangingChars="10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致：石家庄承宏工程建设有限公司</w:t>
      </w:r>
    </w:p>
    <w:p>
      <w:pPr>
        <w:keepNext w:val="0"/>
        <w:keepLines w:val="0"/>
        <w:pageBreakBefore w:val="0"/>
        <w:widowControl/>
        <w:kinsoku/>
        <w:wordWrap/>
        <w:overflowPunct/>
        <w:topLinePunct w:val="0"/>
        <w:autoSpaceDE w:val="0"/>
        <w:autoSpaceDN w:val="0"/>
        <w:bidi w:val="0"/>
        <w:adjustRightInd w:val="0"/>
        <w:spacing w:line="580" w:lineRule="exact"/>
        <w:ind w:firstLine="720" w:firstLineChars="3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我们收到贵方</w:t>
      </w:r>
      <w:bookmarkStart w:id="19" w:name="OLE_LINK13"/>
      <w:bookmarkStart w:id="20" w:name="OLE_LINK12"/>
      <w:r>
        <w:rPr>
          <w:rFonts w:hint="eastAsia" w:ascii="宋体" w:hAnsi="宋体" w:eastAsia="宋体" w:cs="宋体"/>
          <w:color w:val="auto"/>
          <w:kern w:val="0"/>
          <w:sz w:val="24"/>
          <w:highlight w:val="none"/>
          <w:u w:val="single"/>
        </w:rPr>
        <w:t xml:space="preserve"> </w:t>
      </w:r>
      <w:bookmarkEnd w:id="19"/>
      <w:bookmarkEnd w:id="20"/>
      <w:r>
        <w:rPr>
          <w:rFonts w:hint="eastAsia" w:ascii="宋体" w:hAnsi="宋体" w:eastAsia="宋体" w:cs="宋体"/>
          <w:color w:val="auto"/>
          <w:sz w:val="24"/>
          <w:highlight w:val="none"/>
          <w:u w:val="single"/>
          <w:lang w:eastAsia="zh-CN"/>
        </w:rPr>
        <w:t xml:space="preserve">高柱城中村改造项目三期商品区地(3#-2)项目供热工程劳务分包采购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公开比选采购文件，经详细研究，我们决定参加该项目比选。并同时宣布愿意遵守下列条款：</w:t>
      </w:r>
    </w:p>
    <w:p>
      <w:pPr>
        <w:keepNext w:val="0"/>
        <w:keepLines w:val="0"/>
        <w:pageBreakBefore w:val="0"/>
        <w:widowControl/>
        <w:kinsoku/>
        <w:wordWrap/>
        <w:overflowPunct/>
        <w:topLinePunct w:val="0"/>
        <w:bidi w:val="0"/>
        <w:adjustRightInd w:val="0"/>
        <w:snapToGrid w:val="0"/>
        <w:spacing w:line="58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1、承认和愿意按照比选采购文件中的各项规定和要求，提供</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lang w:eastAsia="zh-CN"/>
        </w:rPr>
        <w:t xml:space="preserve">高柱城中村改造项目三期商品区地(3#-2)项目供热工程劳务分包采购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工作内容。</w:t>
      </w:r>
    </w:p>
    <w:p>
      <w:pPr>
        <w:keepNext w:val="0"/>
        <w:keepLines w:val="0"/>
        <w:pageBreakBefore w:val="0"/>
        <w:widowControl/>
        <w:kinsoku/>
        <w:wordWrap/>
        <w:overflowPunct/>
        <w:topLinePunct w:val="0"/>
        <w:bidi w:val="0"/>
        <w:adjustRightInd w:val="0"/>
        <w:snapToGrid w:val="0"/>
        <w:spacing w:line="580" w:lineRule="exact"/>
        <w:ind w:left="0" w:leftChars="0" w:right="28" w:firstLine="559" w:firstLineChars="233"/>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总报价:</w:t>
      </w:r>
      <w:bookmarkStart w:id="21" w:name="OLE_LINK11"/>
      <w:bookmarkStart w:id="22" w:name="OLE_LINK14"/>
      <w:r>
        <w:rPr>
          <w:rFonts w:hint="eastAsia" w:ascii="宋体" w:hAnsi="宋体" w:eastAsia="宋体" w:cs="宋体"/>
          <w:color w:val="auto"/>
          <w:kern w:val="0"/>
          <w:sz w:val="24"/>
          <w:highlight w:val="none"/>
        </w:rPr>
        <w:t>大写人民币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（小写¥</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w:t>
      </w:r>
      <w:bookmarkEnd w:id="21"/>
      <w:r>
        <w:rPr>
          <w:rFonts w:hint="eastAsia" w:ascii="宋体" w:hAnsi="宋体" w:eastAsia="宋体" w:cs="宋体"/>
          <w:color w:val="auto"/>
          <w:kern w:val="0"/>
          <w:sz w:val="24"/>
          <w:highlight w:val="none"/>
        </w:rPr>
        <w:t>；</w:t>
      </w:r>
      <w:bookmarkEnd w:id="22"/>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质量标准：达到国家质量验收规范合格标准；</w:t>
      </w:r>
    </w:p>
    <w:p>
      <w:pPr>
        <w:keepNext w:val="0"/>
        <w:keepLines w:val="0"/>
        <w:pageBreakBefore w:val="0"/>
        <w:widowControl/>
        <w:kinsoku/>
        <w:wordWrap/>
        <w:overflowPunct/>
        <w:topLinePunct w:val="0"/>
        <w:bidi w:val="0"/>
        <w:adjustRightInd w:val="0"/>
        <w:snapToGrid w:val="0"/>
        <w:spacing w:line="580" w:lineRule="exact"/>
        <w:ind w:right="28" w:firstLine="628" w:firstLineChars="262"/>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4"/>
          <w:highlight w:val="none"/>
        </w:rPr>
        <w:t>响应文件有效期：60日历天。</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2、愿意按照相关法律、法规及制度履行自己的责任和义务。</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3、如果我们响应文件被接受，我们将履行比选采购文件中规定的每一项要求，按期、按质、按量完成任务。</w:t>
      </w:r>
    </w:p>
    <w:p>
      <w:pPr>
        <w:keepNext w:val="0"/>
        <w:keepLines w:val="0"/>
        <w:pageBreakBefore w:val="0"/>
        <w:widowControl/>
        <w:tabs>
          <w:tab w:val="left" w:pos="0"/>
        </w:tabs>
        <w:kinsoku/>
        <w:wordWrap/>
        <w:overflowPunct/>
        <w:topLinePunct w:val="0"/>
        <w:bidi w:val="0"/>
        <w:adjustRightInd w:val="0"/>
        <w:snapToGrid w:val="0"/>
        <w:spacing w:line="58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4、我们愿意提供比选单位在比选采购文件中要求的所有资料。</w:t>
      </w:r>
    </w:p>
    <w:p>
      <w:pPr>
        <w:pStyle w:val="12"/>
        <w:rPr>
          <w:rFonts w:hint="eastAsia" w:ascii="宋体" w:hAnsi="宋体" w:eastAsia="宋体" w:cs="宋体"/>
          <w:color w:val="auto"/>
          <w:kern w:val="0"/>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topLinePunct/>
        <w:spacing w:line="560" w:lineRule="exact"/>
        <w:ind w:right="-307" w:rightChars="-146" w:firstLine="3360" w:firstLineChars="14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sz w:val="24"/>
          <w:highlight w:val="none"/>
        </w:rPr>
        <w:t>响应单位：</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（盖单位章）</w:t>
      </w:r>
    </w:p>
    <w:p>
      <w:pPr>
        <w:widowControl/>
        <w:adjustRightInd w:val="0"/>
        <w:snapToGrid w:val="0"/>
        <w:spacing w:line="560" w:lineRule="exact"/>
        <w:ind w:firstLine="3840" w:firstLineChars="16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（签字或印鉴）</w:t>
      </w:r>
    </w:p>
    <w:p>
      <w:pPr>
        <w:widowControl/>
        <w:adjustRightInd w:val="0"/>
        <w:snapToGrid w:val="0"/>
        <w:spacing w:line="56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b/>
          <w:bCs/>
          <w:color w:val="auto"/>
          <w:kern w:val="0"/>
          <w:sz w:val="24"/>
          <w:highlight w:val="none"/>
        </w:rPr>
        <w:t xml:space="preserve">                                        </w:t>
      </w:r>
      <w:r>
        <w:rPr>
          <w:rFonts w:hint="eastAsia" w:ascii="宋体" w:hAnsi="宋体" w:eastAsia="宋体" w:cs="宋体"/>
          <w:color w:val="auto"/>
          <w:kern w:val="0"/>
          <w:sz w:val="24"/>
          <w:highlight w:val="none"/>
        </w:rPr>
        <w:t xml:space="preserve">  年   月   日</w:t>
      </w:r>
    </w:p>
    <w:p>
      <w:pPr>
        <w:pStyle w:val="12"/>
        <w:rPr>
          <w:rFonts w:hint="eastAsia" w:ascii="宋体" w:hAnsi="宋体" w:eastAsia="宋体" w:cs="宋体"/>
          <w:color w:val="auto"/>
          <w:kern w:val="0"/>
          <w:highlight w:val="none"/>
        </w:rPr>
      </w:pPr>
    </w:p>
    <w:p>
      <w:pPr>
        <w:rPr>
          <w:rFonts w:hint="eastAsia" w:ascii="宋体" w:hAnsi="宋体" w:eastAsia="宋体" w:cs="宋体"/>
          <w:color w:val="auto"/>
          <w:kern w:val="0"/>
          <w:highlight w:val="none"/>
        </w:rPr>
      </w:pPr>
    </w:p>
    <w:p>
      <w:pPr>
        <w:pStyle w:val="2"/>
        <w:rPr>
          <w:rFonts w:hint="eastAsia" w:ascii="宋体" w:hAnsi="宋体" w:eastAsia="宋体" w:cs="宋体"/>
          <w:color w:val="auto"/>
          <w:kern w:val="0"/>
          <w:highlight w:val="none"/>
        </w:rPr>
      </w:pPr>
    </w:p>
    <w:p>
      <w:pPr>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23" w:name="_Toc10115"/>
      <w:bookmarkStart w:id="24" w:name="_Toc7387"/>
      <w:bookmarkStart w:id="25" w:name="_Toc1445"/>
      <w:bookmarkStart w:id="26" w:name="_Toc21847"/>
      <w:r>
        <w:rPr>
          <w:rFonts w:hint="eastAsia" w:ascii="宋体" w:hAnsi="宋体" w:eastAsia="宋体" w:cs="宋体"/>
          <w:bCs w:val="0"/>
          <w:color w:val="auto"/>
          <w:kern w:val="0"/>
          <w:sz w:val="32"/>
          <w:szCs w:val="32"/>
          <w:highlight w:val="none"/>
          <w:lang w:bidi="ar"/>
        </w:rPr>
        <w:t>二、营业执照</w:t>
      </w:r>
      <w:bookmarkEnd w:id="23"/>
      <w:bookmarkEnd w:id="24"/>
      <w:bookmarkEnd w:id="25"/>
      <w:bookmarkEnd w:id="26"/>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27" w:name="_Toc2164"/>
      <w:bookmarkStart w:id="28" w:name="_Toc30767"/>
      <w:bookmarkStart w:id="29" w:name="_Toc21198"/>
      <w:bookmarkStart w:id="30" w:name="_Toc8962"/>
      <w:r>
        <w:rPr>
          <w:rFonts w:hint="eastAsia" w:ascii="宋体" w:hAnsi="宋体" w:eastAsia="宋体" w:cs="宋体"/>
          <w:bCs w:val="0"/>
          <w:color w:val="auto"/>
          <w:kern w:val="0"/>
          <w:sz w:val="32"/>
          <w:szCs w:val="32"/>
          <w:highlight w:val="none"/>
          <w:lang w:bidi="ar"/>
        </w:rPr>
        <w:t>三、施工劳务企业资质证书</w:t>
      </w:r>
      <w:bookmarkEnd w:id="27"/>
      <w:bookmarkEnd w:id="28"/>
      <w:bookmarkEnd w:id="29"/>
      <w:bookmarkEnd w:id="30"/>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31" w:name="_Toc19454"/>
      <w:bookmarkStart w:id="32" w:name="_Toc21741"/>
      <w:bookmarkStart w:id="33" w:name="_Toc13546"/>
      <w:bookmarkStart w:id="34" w:name="_Toc13359"/>
      <w:r>
        <w:rPr>
          <w:rFonts w:hint="eastAsia" w:ascii="宋体" w:hAnsi="宋体" w:eastAsia="宋体" w:cs="宋体"/>
          <w:bCs w:val="0"/>
          <w:color w:val="auto"/>
          <w:kern w:val="0"/>
          <w:sz w:val="32"/>
          <w:szCs w:val="32"/>
          <w:highlight w:val="none"/>
          <w:lang w:bidi="ar"/>
        </w:rPr>
        <w:t>四、安全生产许可证</w:t>
      </w:r>
      <w:bookmarkEnd w:id="31"/>
      <w:bookmarkEnd w:id="32"/>
      <w:bookmarkEnd w:id="33"/>
      <w:bookmarkEnd w:id="34"/>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35" w:name="_Toc21480"/>
      <w:bookmarkStart w:id="36" w:name="_Toc21491"/>
      <w:bookmarkStart w:id="37" w:name="_Toc14486"/>
      <w:bookmarkStart w:id="38" w:name="_Toc4606"/>
      <w:r>
        <w:rPr>
          <w:rFonts w:hint="eastAsia" w:ascii="宋体" w:hAnsi="宋体" w:eastAsia="宋体" w:cs="宋体"/>
          <w:bCs w:val="0"/>
          <w:color w:val="auto"/>
          <w:kern w:val="0"/>
          <w:sz w:val="32"/>
          <w:szCs w:val="32"/>
          <w:highlight w:val="none"/>
          <w:lang w:bidi="ar"/>
        </w:rPr>
        <w:t>五、开户许可证或基本存款账户信息证明</w:t>
      </w:r>
      <w:bookmarkEnd w:id="35"/>
      <w:bookmarkEnd w:id="36"/>
      <w:bookmarkEnd w:id="37"/>
      <w:bookmarkEnd w:id="38"/>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39" w:name="_Toc29609"/>
      <w:bookmarkStart w:id="40" w:name="_Toc3450"/>
      <w:bookmarkStart w:id="41" w:name="_Toc149"/>
      <w:bookmarkStart w:id="42" w:name="_Toc676"/>
      <w:r>
        <w:rPr>
          <w:rFonts w:hint="eastAsia" w:ascii="宋体" w:hAnsi="宋体" w:eastAsia="宋体" w:cs="宋体"/>
          <w:bCs w:val="0"/>
          <w:color w:val="auto"/>
          <w:kern w:val="0"/>
          <w:sz w:val="32"/>
          <w:szCs w:val="32"/>
          <w:highlight w:val="none"/>
          <w:lang w:bidi="ar"/>
        </w:rPr>
        <w:t>六、法定代表人身份证明及法定代表人授权委托书</w:t>
      </w:r>
      <w:bookmarkEnd w:id="39"/>
      <w:bookmarkEnd w:id="40"/>
      <w:bookmarkEnd w:id="41"/>
      <w:bookmarkEnd w:id="42"/>
    </w:p>
    <w:p>
      <w:pPr>
        <w:spacing w:line="380" w:lineRule="exact"/>
        <w:jc w:val="center"/>
        <w:rPr>
          <w:rFonts w:hint="eastAsia" w:ascii="宋体" w:hAnsi="宋体" w:eastAsia="宋体" w:cs="宋体"/>
          <w:b/>
          <w:bCs/>
          <w:color w:val="auto"/>
          <w:kern w:val="0"/>
          <w:sz w:val="28"/>
          <w:szCs w:val="28"/>
          <w:highlight w:val="none"/>
          <w:lang w:bidi="ar"/>
        </w:rPr>
      </w:pPr>
    </w:p>
    <w:p>
      <w:pPr>
        <w:spacing w:line="380" w:lineRule="exact"/>
        <w:jc w:val="center"/>
        <w:rPr>
          <w:rFonts w:hint="eastAsia" w:ascii="宋体" w:hAnsi="宋体" w:eastAsia="宋体" w:cs="宋体"/>
          <w:b/>
          <w:bCs/>
          <w:color w:val="auto"/>
          <w:kern w:val="0"/>
          <w:sz w:val="28"/>
          <w:szCs w:val="28"/>
          <w:highlight w:val="none"/>
          <w:lang w:bidi="ar"/>
        </w:rPr>
      </w:pPr>
    </w:p>
    <w:p>
      <w:pPr>
        <w:pStyle w:val="6"/>
        <w:jc w:val="center"/>
        <w:rPr>
          <w:rFonts w:hint="eastAsia" w:ascii="宋体" w:hAnsi="宋体" w:eastAsia="宋体" w:cs="宋体"/>
          <w:bCs w:val="0"/>
          <w:color w:val="auto"/>
          <w:kern w:val="0"/>
          <w:sz w:val="32"/>
          <w:szCs w:val="32"/>
          <w:highlight w:val="none"/>
          <w:lang w:bidi="ar"/>
        </w:rPr>
      </w:pPr>
      <w:bookmarkStart w:id="43" w:name="_Toc5118"/>
      <w:bookmarkStart w:id="44" w:name="_Toc20831"/>
      <w:r>
        <w:rPr>
          <w:rFonts w:hint="eastAsia" w:ascii="宋体" w:hAnsi="宋体" w:eastAsia="宋体" w:cs="宋体"/>
          <w:bCs w:val="0"/>
          <w:color w:val="auto"/>
          <w:kern w:val="0"/>
          <w:sz w:val="32"/>
          <w:szCs w:val="32"/>
          <w:highlight w:val="none"/>
          <w:lang w:bidi="ar"/>
        </w:rPr>
        <w:t>1.法定代表人身份证明</w:t>
      </w:r>
      <w:bookmarkEnd w:id="43"/>
      <w:bookmarkEnd w:id="44"/>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topLinePunct/>
        <w:spacing w:line="600" w:lineRule="exact"/>
        <w:ind w:firstLine="360" w:firstLineChars="15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响应单位名称：</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单位性质：</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地址：</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成立时间：</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经营期限：</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姓名：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性别：</w:t>
      </w:r>
      <w:bookmarkStart w:id="45" w:name="_Toc352691662"/>
      <w:bookmarkStart w:id="46" w:name="_Toc27897"/>
      <w:bookmarkStart w:id="47" w:name="_Toc369531698"/>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bookmarkEnd w:id="45"/>
      <w:bookmarkEnd w:id="46"/>
      <w:bookmarkEnd w:id="47"/>
      <w:r>
        <w:rPr>
          <w:rFonts w:hint="eastAsia" w:ascii="宋体" w:hAnsi="宋体" w:eastAsia="宋体" w:cs="宋体"/>
          <w:bCs/>
          <w:color w:val="auto"/>
          <w:sz w:val="24"/>
          <w:highlight w:val="none"/>
        </w:rPr>
        <w:t>龄</w:t>
      </w:r>
      <w:bookmarkStart w:id="48" w:name="_Toc144974858"/>
      <w:bookmarkStart w:id="49" w:name="_Toc247514248"/>
      <w:bookmarkStart w:id="50" w:name="_Toc152045789"/>
      <w:bookmarkStart w:id="51" w:name="_Toc300835211"/>
      <w:bookmarkStart w:id="52" w:name="_Toc15573"/>
      <w:bookmarkStart w:id="53" w:name="_Toc384308377"/>
      <w:bookmarkStart w:id="54" w:name="_Toc152042578"/>
      <w:bookmarkStart w:id="55" w:name="_Toc361508754"/>
      <w:bookmarkStart w:id="56" w:name="_Toc352691663"/>
      <w:bookmarkStart w:id="57" w:name="_Toc247527829"/>
      <w:bookmarkStart w:id="58" w:name="_Toc369531699"/>
      <w:r>
        <w:rPr>
          <w:rFonts w:hint="eastAsia" w:ascii="宋体" w:hAnsi="宋体" w:eastAsia="宋体" w:cs="宋体"/>
          <w:bCs/>
          <w:color w:val="auto"/>
          <w:sz w:val="24"/>
          <w:highlight w:val="none"/>
        </w:rPr>
        <w:t>：</w:t>
      </w:r>
      <w:bookmarkEnd w:id="48"/>
      <w:bookmarkEnd w:id="49"/>
      <w:bookmarkEnd w:id="50"/>
      <w:bookmarkEnd w:id="51"/>
      <w:bookmarkEnd w:id="52"/>
      <w:bookmarkEnd w:id="53"/>
      <w:bookmarkEnd w:id="54"/>
      <w:bookmarkEnd w:id="55"/>
      <w:bookmarkEnd w:id="56"/>
      <w:bookmarkEnd w:id="57"/>
      <w:bookmarkEnd w:id="58"/>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职务：</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w:t>
      </w:r>
    </w:p>
    <w:p>
      <w:pPr>
        <w:topLinePunct/>
        <w:spacing w:line="6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系</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（响应单位名称）的法定代表人。</w:t>
      </w:r>
    </w:p>
    <w:p>
      <w:pPr>
        <w:topLinePunct/>
        <w:spacing w:line="6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特此证明。</w:t>
      </w:r>
    </w:p>
    <w:p>
      <w:pPr>
        <w:topLinePunct/>
        <w:spacing w:line="600" w:lineRule="exact"/>
        <w:ind w:firstLine="360" w:firstLineChars="150"/>
        <w:rPr>
          <w:rFonts w:hint="eastAsia" w:ascii="宋体" w:hAnsi="宋体" w:eastAsia="宋体" w:cs="宋体"/>
          <w:bCs/>
          <w:color w:val="auto"/>
          <w:sz w:val="24"/>
          <w:highlight w:val="none"/>
        </w:rPr>
      </w:pPr>
    </w:p>
    <w:p>
      <w:pPr>
        <w:topLinePunct/>
        <w:spacing w:line="6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附：法定代表人身份证复印件。</w:t>
      </w:r>
    </w:p>
    <w:p>
      <w:pPr>
        <w:spacing w:line="600" w:lineRule="exact"/>
        <w:ind w:firstLine="360" w:firstLineChars="150"/>
        <w:rPr>
          <w:rFonts w:hint="eastAsia" w:ascii="宋体" w:hAnsi="宋体" w:eastAsia="宋体" w:cs="宋体"/>
          <w:bCs/>
          <w:color w:val="auto"/>
          <w:sz w:val="24"/>
          <w:highlight w:val="none"/>
        </w:rPr>
      </w:pPr>
    </w:p>
    <w:p>
      <w:pPr>
        <w:pStyle w:val="12"/>
        <w:spacing w:line="600" w:lineRule="exact"/>
        <w:ind w:firstLine="360" w:firstLineChars="150"/>
        <w:rPr>
          <w:rFonts w:hint="eastAsia" w:ascii="宋体" w:hAnsi="宋体" w:eastAsia="宋体" w:cs="宋体"/>
          <w:bCs/>
          <w:color w:val="auto"/>
          <w:highlight w:val="none"/>
        </w:rPr>
      </w:pPr>
    </w:p>
    <w:p>
      <w:pPr>
        <w:rPr>
          <w:rFonts w:hint="eastAsia" w:ascii="宋体" w:hAnsi="宋体" w:eastAsia="宋体" w:cs="宋体"/>
          <w:color w:val="auto"/>
          <w:sz w:val="24"/>
          <w:highlight w:val="none"/>
        </w:rPr>
      </w:pPr>
    </w:p>
    <w:p>
      <w:pPr>
        <w:topLinePunct/>
        <w:spacing w:line="600" w:lineRule="exact"/>
        <w:jc w:val="righ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响应单位：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（盖单位章）</w:t>
      </w:r>
    </w:p>
    <w:p>
      <w:pPr>
        <w:ind w:firstLine="5520" w:firstLineChars="2300"/>
        <w:rPr>
          <w:rFonts w:hint="eastAsia" w:ascii="宋体" w:hAnsi="宋体" w:eastAsia="宋体" w:cs="宋体"/>
          <w:bCs/>
          <w:color w:val="auto"/>
          <w:sz w:val="24"/>
          <w:highlight w:val="none"/>
        </w:rPr>
      </w:pPr>
    </w:p>
    <w:p>
      <w:pPr>
        <w:spacing w:line="620" w:lineRule="exact"/>
        <w:ind w:firstLine="6060" w:firstLineChars="25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    年   月   日</w:t>
      </w:r>
    </w:p>
    <w:p>
      <w:pPr>
        <w:spacing w:line="620" w:lineRule="exact"/>
        <w:ind w:firstLine="1120" w:firstLineChars="400"/>
        <w:jc w:val="center"/>
        <w:rPr>
          <w:rFonts w:hint="eastAsia" w:ascii="宋体" w:hAnsi="宋体" w:eastAsia="宋体" w:cs="宋体"/>
          <w:color w:val="auto"/>
          <w:sz w:val="28"/>
          <w:szCs w:val="28"/>
          <w:highlight w:val="none"/>
        </w:rPr>
      </w:pPr>
    </w:p>
    <w:p>
      <w:pPr>
        <w:pStyle w:val="12"/>
        <w:rPr>
          <w:rFonts w:hint="eastAsia" w:ascii="宋体" w:hAnsi="宋体" w:eastAsia="宋体" w:cs="宋体"/>
          <w:color w:val="auto"/>
          <w:sz w:val="28"/>
          <w:szCs w:val="28"/>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380" w:lineRule="exact"/>
        <w:jc w:val="center"/>
        <w:rPr>
          <w:rFonts w:hint="eastAsia" w:ascii="宋体" w:hAnsi="宋体" w:eastAsia="宋体" w:cs="宋体"/>
          <w:b/>
          <w:bCs/>
          <w:color w:val="auto"/>
          <w:kern w:val="0"/>
          <w:sz w:val="28"/>
          <w:szCs w:val="28"/>
          <w:highlight w:val="none"/>
          <w:lang w:val="zh-CN" w:bidi="ar"/>
        </w:rPr>
      </w:pPr>
      <w:bookmarkStart w:id="59" w:name="_Toc396236151"/>
      <w:bookmarkStart w:id="60" w:name="_Toc360630804"/>
      <w:bookmarkStart w:id="61" w:name="_Toc7142"/>
      <w:bookmarkStart w:id="62" w:name="_Toc27295"/>
      <w:bookmarkStart w:id="63" w:name="_Toc12389"/>
      <w:bookmarkStart w:id="64" w:name="_Toc13257"/>
      <w:bookmarkStart w:id="65" w:name="_Toc18230"/>
      <w:bookmarkStart w:id="66" w:name="_Toc16317"/>
      <w:bookmarkStart w:id="67" w:name="_Toc396236625"/>
      <w:bookmarkStart w:id="68" w:name="_Toc2962"/>
    </w:p>
    <w:p>
      <w:pPr>
        <w:pStyle w:val="6"/>
        <w:jc w:val="center"/>
        <w:rPr>
          <w:rFonts w:hint="eastAsia" w:ascii="宋体" w:hAnsi="宋体" w:eastAsia="宋体" w:cs="宋体"/>
          <w:bCs w:val="0"/>
          <w:color w:val="auto"/>
          <w:kern w:val="0"/>
          <w:sz w:val="32"/>
          <w:szCs w:val="32"/>
          <w:highlight w:val="none"/>
          <w:lang w:val="zh-CN" w:bidi="ar"/>
        </w:rPr>
      </w:pPr>
      <w:bookmarkStart w:id="69" w:name="_Toc1346"/>
      <w:bookmarkStart w:id="70" w:name="_Toc17265"/>
      <w:r>
        <w:rPr>
          <w:rFonts w:hint="eastAsia" w:ascii="宋体" w:hAnsi="宋体" w:eastAsia="宋体" w:cs="宋体"/>
          <w:bCs w:val="0"/>
          <w:color w:val="auto"/>
          <w:kern w:val="0"/>
          <w:sz w:val="32"/>
          <w:szCs w:val="32"/>
          <w:highlight w:val="none"/>
          <w:lang w:bidi="ar"/>
        </w:rPr>
        <w:t>2.</w:t>
      </w:r>
      <w:r>
        <w:rPr>
          <w:rFonts w:hint="eastAsia" w:ascii="宋体" w:hAnsi="宋体" w:eastAsia="宋体" w:cs="宋体"/>
          <w:bCs w:val="0"/>
          <w:color w:val="auto"/>
          <w:kern w:val="0"/>
          <w:sz w:val="32"/>
          <w:szCs w:val="32"/>
          <w:highlight w:val="none"/>
          <w:lang w:val="zh-CN" w:bidi="ar"/>
        </w:rPr>
        <w:t>法定代表人授权委托书</w:t>
      </w:r>
      <w:bookmarkEnd w:id="59"/>
      <w:bookmarkEnd w:id="60"/>
      <w:bookmarkEnd w:id="61"/>
      <w:bookmarkEnd w:id="62"/>
      <w:bookmarkEnd w:id="63"/>
      <w:bookmarkEnd w:id="64"/>
      <w:bookmarkEnd w:id="65"/>
      <w:bookmarkEnd w:id="66"/>
      <w:bookmarkEnd w:id="67"/>
      <w:bookmarkEnd w:id="68"/>
      <w:bookmarkEnd w:id="69"/>
      <w:bookmarkEnd w:id="70"/>
    </w:p>
    <w:p>
      <w:pPr>
        <w:spacing w:line="600" w:lineRule="exact"/>
        <w:ind w:right="-307" w:rightChars="-146" w:firstLine="480" w:firstLineChars="200"/>
        <w:rPr>
          <w:rFonts w:hint="eastAsia" w:ascii="宋体" w:hAnsi="宋体" w:eastAsia="宋体" w:cs="宋体"/>
          <w:color w:val="auto"/>
          <w:sz w:val="24"/>
          <w:highlight w:val="none"/>
        </w:rPr>
      </w:pPr>
    </w:p>
    <w:p>
      <w:pPr>
        <w:spacing w:line="600" w:lineRule="exact"/>
        <w:ind w:right="-307" w:rightChars="-146"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(响应单位名称)         </w:t>
      </w:r>
      <w:r>
        <w:rPr>
          <w:rFonts w:hint="eastAsia" w:ascii="宋体" w:hAnsi="宋体" w:eastAsia="宋体" w:cs="宋体"/>
          <w:color w:val="auto"/>
          <w:sz w:val="24"/>
          <w:highlight w:val="none"/>
        </w:rPr>
        <w:t>的法定代表人，现授权委托</w:t>
      </w:r>
      <w:r>
        <w:rPr>
          <w:rFonts w:hint="eastAsia" w:ascii="宋体" w:hAnsi="宋体" w:eastAsia="宋体" w:cs="宋体"/>
          <w:color w:val="auto"/>
          <w:sz w:val="24"/>
          <w:highlight w:val="none"/>
          <w:u w:val="single"/>
        </w:rPr>
        <w:t xml:space="preserve">    (单位名称)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为我公司签署</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高柱城中村改造项目三期商品区地(3#-2)项目供热工程劳务分包</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采购响应文件的授权委托代理人，并以我公司的名义参加本项目的采购报价活动。我承认代理人全权代表我所签署的本项目的公开比选采购文件的内容以及在开标、评标过程中所签署的一切文件。</w:t>
      </w:r>
    </w:p>
    <w:p>
      <w:pPr>
        <w:spacing w:line="600" w:lineRule="exact"/>
        <w:ind w:right="-307" w:rightChars="-146" w:firstLine="480" w:firstLineChars="200"/>
        <w:rPr>
          <w:rFonts w:hint="eastAsia" w:ascii="宋体" w:hAnsi="宋体" w:eastAsia="宋体" w:cs="宋体"/>
          <w:color w:val="auto"/>
          <w:sz w:val="24"/>
          <w:highlight w:val="none"/>
        </w:rPr>
      </w:pPr>
    </w:p>
    <w:p>
      <w:pPr>
        <w:spacing w:line="600" w:lineRule="exact"/>
        <w:ind w:right="-307" w:rightChars="-146"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委托期限：自授权书签订之日起至采购有效期截止之日止。</w:t>
      </w:r>
    </w:p>
    <w:p>
      <w:pPr>
        <w:spacing w:line="600" w:lineRule="exact"/>
        <w:ind w:right="-307" w:rightChars="-146"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w:t>
      </w:r>
    </w:p>
    <w:p>
      <w:pPr>
        <w:spacing w:line="600" w:lineRule="exact"/>
        <w:ind w:right="-307" w:rightChars="-146" w:firstLine="480" w:firstLineChars="200"/>
        <w:rPr>
          <w:rFonts w:hint="eastAsia" w:ascii="宋体" w:hAnsi="宋体" w:eastAsia="宋体" w:cs="宋体"/>
          <w:color w:val="auto"/>
          <w:sz w:val="24"/>
          <w:highlight w:val="none"/>
        </w:rPr>
      </w:pPr>
    </w:p>
    <w:p>
      <w:pPr>
        <w:spacing w:line="600" w:lineRule="exact"/>
        <w:ind w:right="-307" w:rightChars="-146"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附：法定代表人身份证复印件及委托代理人身份证复印件</w:t>
      </w:r>
    </w:p>
    <w:p>
      <w:pPr>
        <w:pStyle w:val="2"/>
        <w:tabs>
          <w:tab w:val="left" w:pos="8280"/>
          <w:tab w:val="clear" w:pos="1155"/>
        </w:tabs>
        <w:ind w:firstLine="528"/>
        <w:rPr>
          <w:rFonts w:hint="eastAsia" w:ascii="宋体" w:hAnsi="宋体" w:eastAsia="宋体" w:cs="宋体"/>
          <w:color w:val="auto"/>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highlight w:val="none"/>
        </w:rPr>
      </w:pPr>
    </w:p>
    <w:p>
      <w:pPr>
        <w:pStyle w:val="2"/>
        <w:tabs>
          <w:tab w:val="left" w:pos="8280"/>
          <w:tab w:val="clear" w:pos="1155"/>
        </w:tabs>
        <w:ind w:firstLine="528"/>
        <w:rPr>
          <w:rFonts w:hint="eastAsia" w:ascii="宋体" w:hAnsi="宋体" w:eastAsia="宋体" w:cs="宋体"/>
          <w:color w:val="auto"/>
          <w:highlight w:val="none"/>
        </w:rPr>
      </w:pPr>
    </w:p>
    <w:p>
      <w:pPr>
        <w:topLinePunct/>
        <w:spacing w:line="600" w:lineRule="exact"/>
        <w:ind w:right="-307" w:rightChars="-146"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响应单位：</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（盖单位章）</w:t>
      </w:r>
    </w:p>
    <w:p>
      <w:pPr>
        <w:topLinePunct/>
        <w:spacing w:line="600" w:lineRule="exact"/>
        <w:ind w:right="-307" w:rightChars="-146"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（签字或印鉴）</w:t>
      </w:r>
    </w:p>
    <w:p>
      <w:pPr>
        <w:topLinePunct/>
        <w:spacing w:line="600" w:lineRule="exact"/>
        <w:ind w:right="-307" w:rightChars="-146" w:firstLine="3360" w:firstLineChars="1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bCs/>
          <w:color w:val="auto"/>
          <w:sz w:val="24"/>
          <w:highlight w:val="none"/>
          <w:u w:val="single"/>
        </w:rPr>
        <w:t xml:space="preserve">                      </w:t>
      </w:r>
    </w:p>
    <w:p>
      <w:pPr>
        <w:topLinePunct/>
        <w:spacing w:line="600" w:lineRule="exact"/>
        <w:ind w:right="-307" w:rightChars="-146"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（签字）</w:t>
      </w:r>
    </w:p>
    <w:p>
      <w:pPr>
        <w:topLinePunct/>
        <w:spacing w:line="600" w:lineRule="exact"/>
        <w:ind w:right="-307" w:rightChars="-146" w:firstLine="3360" w:firstLineChars="14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bCs/>
          <w:color w:val="auto"/>
          <w:sz w:val="24"/>
          <w:highlight w:val="none"/>
          <w:u w:val="single"/>
        </w:rPr>
        <w:t xml:space="preserve">                      </w:t>
      </w:r>
    </w:p>
    <w:p>
      <w:pPr>
        <w:pStyle w:val="2"/>
        <w:tabs>
          <w:tab w:val="left" w:pos="8280"/>
          <w:tab w:val="clear" w:pos="1155"/>
        </w:tabs>
        <w:spacing w:line="600" w:lineRule="exact"/>
        <w:ind w:firstLine="3360" w:firstLineChars="1200"/>
        <w:rPr>
          <w:rFonts w:hint="eastAsia" w:ascii="宋体" w:hAnsi="宋体" w:eastAsia="宋体" w:cs="宋体"/>
          <w:color w:val="auto"/>
          <w:highlight w:val="none"/>
          <w:u w:val="single"/>
        </w:rPr>
      </w:pPr>
      <w:r>
        <w:rPr>
          <w:rFonts w:hint="eastAsia" w:ascii="宋体" w:hAnsi="宋体" w:eastAsia="宋体" w:cs="宋体"/>
          <w:bCs/>
          <w:color w:val="auto"/>
          <w:highlight w:val="none"/>
        </w:rPr>
        <w:t>联系方式：</w:t>
      </w:r>
      <w:r>
        <w:rPr>
          <w:rFonts w:hint="eastAsia" w:ascii="宋体" w:hAnsi="宋体" w:eastAsia="宋体" w:cs="宋体"/>
          <w:bCs/>
          <w:color w:val="auto"/>
          <w:highlight w:val="none"/>
          <w:u w:val="single"/>
        </w:rPr>
        <w:t xml:space="preserve">                    </w:t>
      </w:r>
    </w:p>
    <w:p>
      <w:pPr>
        <w:spacing w:line="620" w:lineRule="exact"/>
        <w:ind w:firstLine="5580" w:firstLineChars="23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  年    月    日</w:t>
      </w:r>
    </w:p>
    <w:p>
      <w:pPr>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71" w:name="_Toc30751"/>
      <w:bookmarkStart w:id="72" w:name="_Toc5105"/>
      <w:bookmarkStart w:id="73" w:name="_Toc18023"/>
      <w:bookmarkStart w:id="74" w:name="_Toc28350"/>
      <w:r>
        <w:rPr>
          <w:rFonts w:hint="eastAsia" w:ascii="宋体" w:hAnsi="宋体" w:eastAsia="宋体" w:cs="宋体"/>
          <w:bCs w:val="0"/>
          <w:color w:val="auto"/>
          <w:kern w:val="0"/>
          <w:sz w:val="32"/>
          <w:szCs w:val="32"/>
          <w:highlight w:val="none"/>
          <w:lang w:bidi="ar"/>
        </w:rPr>
        <w:t>七、供应商基本情况表</w:t>
      </w:r>
      <w:bookmarkEnd w:id="71"/>
      <w:bookmarkEnd w:id="72"/>
      <w:bookmarkEnd w:id="73"/>
      <w:bookmarkEnd w:id="74"/>
    </w:p>
    <w:p>
      <w:pPr>
        <w:spacing w:line="380" w:lineRule="exact"/>
        <w:jc w:val="center"/>
        <w:rPr>
          <w:rFonts w:hint="eastAsia" w:ascii="宋体" w:hAnsi="宋体" w:eastAsia="宋体" w:cs="宋体"/>
          <w:b/>
          <w:bCs/>
          <w:color w:val="auto"/>
          <w:kern w:val="0"/>
          <w:sz w:val="28"/>
          <w:szCs w:val="28"/>
          <w:highlight w:val="none"/>
          <w:lang w:bidi="ar"/>
        </w:rPr>
      </w:pPr>
    </w:p>
    <w:tbl>
      <w:tblPr>
        <w:tblStyle w:val="22"/>
        <w:tblW w:w="91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3373"/>
        <w:gridCol w:w="1324"/>
        <w:gridCol w:w="22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200" w:type="dxa"/>
            <w:vAlign w:val="center"/>
          </w:tcPr>
          <w:p>
            <w:pPr>
              <w:pStyle w:val="32"/>
              <w:tabs>
                <w:tab w:val="left" w:pos="0"/>
              </w:tabs>
              <w:spacing w:before="20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供应商全称</w:t>
            </w:r>
          </w:p>
        </w:tc>
        <w:tc>
          <w:tcPr>
            <w:tcW w:w="6930" w:type="dxa"/>
            <w:gridSpan w:val="3"/>
            <w:vAlign w:val="center"/>
          </w:tcPr>
          <w:p>
            <w:pPr>
              <w:pStyle w:val="32"/>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2200" w:type="dxa"/>
            <w:vAlign w:val="center"/>
          </w:tcPr>
          <w:p>
            <w:pPr>
              <w:pStyle w:val="32"/>
              <w:tabs>
                <w:tab w:val="left" w:pos="0"/>
              </w:tabs>
              <w:spacing w:before="20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经营范围</w:t>
            </w:r>
          </w:p>
        </w:tc>
        <w:tc>
          <w:tcPr>
            <w:tcW w:w="6930" w:type="dxa"/>
            <w:gridSpan w:val="3"/>
            <w:vAlign w:val="center"/>
          </w:tcPr>
          <w:p>
            <w:pPr>
              <w:pStyle w:val="32"/>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s>
              <w:spacing w:before="20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法定代表人姓名</w:t>
            </w:r>
          </w:p>
        </w:tc>
        <w:tc>
          <w:tcPr>
            <w:tcW w:w="3373" w:type="dxa"/>
            <w:vAlign w:val="center"/>
          </w:tcPr>
          <w:p>
            <w:pPr>
              <w:pStyle w:val="32"/>
              <w:jc w:val="center"/>
              <w:rPr>
                <w:rFonts w:hint="eastAsia" w:ascii="宋体" w:hAnsi="宋体" w:eastAsia="宋体" w:cs="宋体"/>
                <w:color w:val="auto"/>
                <w:sz w:val="26"/>
                <w:highlight w:val="none"/>
              </w:rPr>
            </w:pPr>
          </w:p>
        </w:tc>
        <w:tc>
          <w:tcPr>
            <w:tcW w:w="1324" w:type="dxa"/>
            <w:vAlign w:val="center"/>
          </w:tcPr>
          <w:p>
            <w:pPr>
              <w:pStyle w:val="32"/>
              <w:spacing w:before="203"/>
              <w:ind w:left="14" w:hanging="14" w:hangingChars="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务</w:t>
            </w:r>
          </w:p>
        </w:tc>
        <w:tc>
          <w:tcPr>
            <w:tcW w:w="2233" w:type="dxa"/>
            <w:vAlign w:val="center"/>
          </w:tcPr>
          <w:p>
            <w:pPr>
              <w:pStyle w:val="32"/>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640"/>
              </w:tabs>
              <w:spacing w:before="20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3373" w:type="dxa"/>
            <w:vAlign w:val="center"/>
          </w:tcPr>
          <w:p>
            <w:pPr>
              <w:pStyle w:val="32"/>
              <w:jc w:val="center"/>
              <w:rPr>
                <w:rFonts w:hint="eastAsia" w:ascii="宋体" w:hAnsi="宋体" w:eastAsia="宋体" w:cs="宋体"/>
                <w:color w:val="auto"/>
                <w:sz w:val="26"/>
                <w:highlight w:val="none"/>
              </w:rPr>
            </w:pPr>
          </w:p>
        </w:tc>
        <w:tc>
          <w:tcPr>
            <w:tcW w:w="1324" w:type="dxa"/>
            <w:vAlign w:val="center"/>
          </w:tcPr>
          <w:p>
            <w:pPr>
              <w:pStyle w:val="32"/>
              <w:spacing w:before="202"/>
              <w:ind w:left="14" w:hanging="14" w:hangingChars="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2233" w:type="dxa"/>
            <w:vAlign w:val="center"/>
          </w:tcPr>
          <w:p>
            <w:pPr>
              <w:pStyle w:val="32"/>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200"/>
              </w:tabs>
              <w:spacing w:before="20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3373" w:type="dxa"/>
            <w:vAlign w:val="center"/>
          </w:tcPr>
          <w:p>
            <w:pPr>
              <w:pStyle w:val="32"/>
              <w:jc w:val="center"/>
              <w:rPr>
                <w:rFonts w:hint="eastAsia" w:ascii="宋体" w:hAnsi="宋体" w:eastAsia="宋体" w:cs="宋体"/>
                <w:color w:val="auto"/>
                <w:sz w:val="26"/>
                <w:highlight w:val="none"/>
              </w:rPr>
            </w:pPr>
          </w:p>
        </w:tc>
        <w:tc>
          <w:tcPr>
            <w:tcW w:w="1324" w:type="dxa"/>
            <w:vAlign w:val="center"/>
          </w:tcPr>
          <w:p>
            <w:pPr>
              <w:pStyle w:val="32"/>
              <w:spacing w:before="200"/>
              <w:ind w:left="14" w:hanging="14" w:hangingChars="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传</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真</w:t>
            </w:r>
          </w:p>
        </w:tc>
        <w:tc>
          <w:tcPr>
            <w:tcW w:w="2233" w:type="dxa"/>
            <w:vAlign w:val="center"/>
          </w:tcPr>
          <w:p>
            <w:pPr>
              <w:pStyle w:val="32"/>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2200" w:type="dxa"/>
            <w:vAlign w:val="center"/>
          </w:tcPr>
          <w:p>
            <w:pPr>
              <w:pStyle w:val="32"/>
              <w:tabs>
                <w:tab w:val="left" w:pos="0"/>
                <w:tab w:val="left" w:pos="1264"/>
              </w:tabs>
              <w:spacing w:before="20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成立日期</w:t>
            </w:r>
          </w:p>
        </w:tc>
        <w:tc>
          <w:tcPr>
            <w:tcW w:w="3373" w:type="dxa"/>
            <w:vAlign w:val="center"/>
          </w:tcPr>
          <w:p>
            <w:pPr>
              <w:pStyle w:val="32"/>
              <w:jc w:val="center"/>
              <w:rPr>
                <w:rFonts w:hint="eastAsia" w:ascii="宋体" w:hAnsi="宋体" w:eastAsia="宋体" w:cs="宋体"/>
                <w:color w:val="auto"/>
                <w:sz w:val="26"/>
                <w:highlight w:val="none"/>
              </w:rPr>
            </w:pPr>
          </w:p>
        </w:tc>
        <w:tc>
          <w:tcPr>
            <w:tcW w:w="1324" w:type="dxa"/>
            <w:vAlign w:val="center"/>
          </w:tcPr>
          <w:p>
            <w:pPr>
              <w:pStyle w:val="32"/>
              <w:spacing w:before="202"/>
              <w:ind w:left="14" w:hanging="14" w:hangingChars="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职工人数</w:t>
            </w:r>
          </w:p>
        </w:tc>
        <w:tc>
          <w:tcPr>
            <w:tcW w:w="2233" w:type="dxa"/>
            <w:vAlign w:val="center"/>
          </w:tcPr>
          <w:p>
            <w:pPr>
              <w:pStyle w:val="32"/>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jc w:val="center"/>
        </w:trPr>
        <w:tc>
          <w:tcPr>
            <w:tcW w:w="2200" w:type="dxa"/>
            <w:vAlign w:val="center"/>
          </w:tcPr>
          <w:p>
            <w:pPr>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主要劳务范围</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（如：装饰装修、暖通、给排水等单位据实填写）</w:t>
            </w:r>
          </w:p>
        </w:tc>
        <w:tc>
          <w:tcPr>
            <w:tcW w:w="6930" w:type="dxa"/>
            <w:gridSpan w:val="3"/>
            <w:vAlign w:val="center"/>
          </w:tcPr>
          <w:p>
            <w:pPr>
              <w:pStyle w:val="32"/>
              <w:jc w:val="center"/>
              <w:rPr>
                <w:rFonts w:hint="eastAsia" w:ascii="宋体" w:hAnsi="宋体" w:eastAsia="宋体" w:cs="宋体"/>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3" w:hRule="atLeast"/>
          <w:jc w:val="center"/>
        </w:trPr>
        <w:tc>
          <w:tcPr>
            <w:tcW w:w="9130" w:type="dxa"/>
            <w:gridSpan w:val="4"/>
          </w:tcPr>
          <w:p>
            <w:pPr>
              <w:pStyle w:val="32"/>
              <w:ind w:firstLine="240" w:firstLineChars="100"/>
              <w:rPr>
                <w:rFonts w:hint="eastAsia" w:ascii="宋体" w:hAnsi="宋体" w:eastAsia="宋体" w:cs="宋体"/>
                <w:color w:val="auto"/>
                <w:sz w:val="24"/>
                <w:highlight w:val="none"/>
              </w:rPr>
            </w:pPr>
          </w:p>
          <w:p>
            <w:pPr>
              <w:pStyle w:val="32"/>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单位基本情况简介：</w:t>
            </w:r>
          </w:p>
        </w:tc>
      </w:tr>
    </w:tbl>
    <w:p>
      <w:pPr>
        <w:spacing w:line="620" w:lineRule="exact"/>
        <w:ind w:firstLine="4860" w:firstLineChars="20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响应单位：（盖章）</w:t>
      </w:r>
    </w:p>
    <w:p>
      <w:pPr>
        <w:spacing w:line="620" w:lineRule="exact"/>
        <w:ind w:firstLine="4860" w:firstLineChars="20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法定代表人：（签字或印鉴）</w:t>
      </w:r>
    </w:p>
    <w:p>
      <w:pPr>
        <w:spacing w:line="620" w:lineRule="exact"/>
        <w:ind w:firstLine="5580" w:firstLineChars="23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     年    月  日</w:t>
      </w:r>
    </w:p>
    <w:p>
      <w:pPr>
        <w:pStyle w:val="6"/>
        <w:jc w:val="center"/>
        <w:rPr>
          <w:rFonts w:hint="eastAsia" w:ascii="宋体" w:hAnsi="宋体" w:eastAsia="宋体" w:cs="宋体"/>
          <w:bCs w:val="0"/>
          <w:color w:val="auto"/>
          <w:kern w:val="0"/>
          <w:sz w:val="32"/>
          <w:szCs w:val="32"/>
          <w:highlight w:val="none"/>
          <w:lang w:bidi="ar"/>
        </w:rPr>
      </w:pPr>
      <w:bookmarkStart w:id="75" w:name="_Toc15030"/>
      <w:bookmarkStart w:id="76" w:name="_Toc2339"/>
      <w:bookmarkStart w:id="77" w:name="_Toc24831"/>
      <w:bookmarkStart w:id="78" w:name="_Toc26767"/>
      <w:r>
        <w:rPr>
          <w:rFonts w:hint="eastAsia" w:ascii="宋体" w:hAnsi="宋体" w:eastAsia="宋体" w:cs="宋体"/>
          <w:bCs w:val="0"/>
          <w:color w:val="auto"/>
          <w:kern w:val="0"/>
          <w:sz w:val="32"/>
          <w:szCs w:val="32"/>
          <w:highlight w:val="none"/>
          <w:lang w:bidi="ar"/>
        </w:rPr>
        <w:t>八、近三年类似业绩</w:t>
      </w:r>
      <w:bookmarkEnd w:id="75"/>
      <w:bookmarkEnd w:id="76"/>
      <w:bookmarkEnd w:id="77"/>
      <w:bookmarkEnd w:id="78"/>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pPr>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项目所在地</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发包人名称</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发包人地址</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发包人电话</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合同价格</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劳务周期</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劳务内容</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项目负责人</w:t>
            </w:r>
          </w:p>
        </w:tc>
        <w:tc>
          <w:tcPr>
            <w:tcW w:w="6681" w:type="dxa"/>
          </w:tcPr>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项目描述</w:t>
            </w:r>
          </w:p>
        </w:tc>
        <w:tc>
          <w:tcPr>
            <w:tcW w:w="6681" w:type="dxa"/>
          </w:tcPr>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p>
            <w:pPr>
              <w:topLinePunct/>
              <w:spacing w:line="440" w:lineRule="exac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6681" w:type="dxa"/>
          </w:tcPr>
          <w:p>
            <w:pPr>
              <w:topLinePunct/>
              <w:spacing w:line="440" w:lineRule="exact"/>
              <w:rPr>
                <w:rFonts w:hint="eastAsia" w:ascii="宋体" w:hAnsi="宋体" w:eastAsia="宋体" w:cs="宋体"/>
                <w:color w:val="auto"/>
                <w:highlight w:val="none"/>
              </w:rPr>
            </w:pPr>
          </w:p>
        </w:tc>
      </w:tr>
    </w:tbl>
    <w:p>
      <w:pPr>
        <w:ind w:firstLine="420" w:firstLineChars="200"/>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t>注：1.公司近三年指：</w:t>
      </w: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02</w:t>
      </w:r>
      <w:r>
        <w:rPr>
          <w:rFonts w:hint="eastAsia" w:ascii="宋体" w:hAnsi="宋体" w:eastAsia="宋体" w:cs="宋体"/>
          <w:color w:val="auto"/>
          <w:kern w:val="0"/>
          <w:szCs w:val="21"/>
          <w:highlight w:val="none"/>
        </w:rPr>
        <w:t>月01日至今</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热力类</w:t>
      </w:r>
      <w:r>
        <w:rPr>
          <w:rFonts w:hint="eastAsia" w:ascii="宋体" w:hAnsi="宋体" w:eastAsia="宋体" w:cs="宋体"/>
          <w:color w:val="auto"/>
          <w:highlight w:val="none"/>
        </w:rPr>
        <w:t>劳务</w:t>
      </w:r>
      <w:r>
        <w:rPr>
          <w:rFonts w:hint="eastAsia" w:ascii="宋体" w:hAnsi="宋体" w:eastAsia="宋体" w:cs="宋体"/>
          <w:color w:val="auto"/>
          <w:highlight w:val="none"/>
          <w:lang w:val="en-US" w:eastAsia="zh-CN"/>
        </w:rPr>
        <w:t>分包</w:t>
      </w:r>
      <w:r>
        <w:rPr>
          <w:rFonts w:hint="eastAsia" w:ascii="宋体" w:hAnsi="宋体" w:eastAsia="宋体" w:cs="宋体"/>
          <w:color w:val="auto"/>
          <w:highlight w:val="none"/>
        </w:rPr>
        <w:t>业绩，以合同签订日期为准；</w:t>
      </w: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2.应附合同协议书原件扫描件。此表可复制，每张表格只填写一个项目。</w:t>
      </w:r>
    </w:p>
    <w:p>
      <w:pPr>
        <w:spacing w:line="380" w:lineRule="exact"/>
        <w:jc w:val="center"/>
        <w:rPr>
          <w:rFonts w:hint="eastAsia" w:ascii="宋体" w:hAnsi="宋体" w:eastAsia="宋体" w:cs="宋体"/>
          <w:b/>
          <w:bCs/>
          <w:color w:val="auto"/>
          <w:kern w:val="0"/>
          <w:sz w:val="28"/>
          <w:szCs w:val="28"/>
          <w:highlight w:val="none"/>
          <w:lang w:bidi="ar"/>
        </w:rPr>
      </w:pPr>
    </w:p>
    <w:p>
      <w:pPr>
        <w:spacing w:line="380" w:lineRule="exact"/>
        <w:jc w:val="center"/>
        <w:rPr>
          <w:rFonts w:hint="eastAsia" w:ascii="宋体" w:hAnsi="宋体" w:eastAsia="宋体" w:cs="宋体"/>
          <w:b/>
          <w:bCs/>
          <w:color w:val="auto"/>
          <w:kern w:val="0"/>
          <w:sz w:val="28"/>
          <w:szCs w:val="28"/>
          <w:highlight w:val="none"/>
          <w:lang w:bidi="ar"/>
        </w:rPr>
      </w:pPr>
    </w:p>
    <w:p>
      <w:pPr>
        <w:spacing w:line="380" w:lineRule="exact"/>
        <w:jc w:val="center"/>
        <w:rPr>
          <w:rFonts w:hint="eastAsia" w:ascii="宋体" w:hAnsi="宋体" w:eastAsia="宋体" w:cs="宋体"/>
          <w:b/>
          <w:bCs/>
          <w:color w:val="auto"/>
          <w:kern w:val="0"/>
          <w:sz w:val="28"/>
          <w:szCs w:val="28"/>
          <w:highlight w:val="none"/>
          <w:lang w:bidi="ar"/>
        </w:rPr>
      </w:pPr>
    </w:p>
    <w:p>
      <w:pPr>
        <w:pStyle w:val="12"/>
        <w:rPr>
          <w:rFonts w:hint="eastAsia" w:ascii="宋体" w:hAnsi="宋体" w:eastAsia="宋体" w:cs="宋体"/>
          <w:b/>
          <w:bCs/>
          <w:color w:val="auto"/>
          <w:kern w:val="0"/>
          <w:sz w:val="28"/>
          <w:szCs w:val="28"/>
          <w:highlight w:val="none"/>
          <w:lang w:bidi="ar"/>
        </w:rPr>
      </w:pPr>
    </w:p>
    <w:p>
      <w:pPr>
        <w:rPr>
          <w:rFonts w:hint="eastAsia" w:ascii="宋体" w:hAnsi="宋体" w:eastAsia="宋体" w:cs="宋体"/>
          <w:b/>
          <w:bCs/>
          <w:color w:val="auto"/>
          <w:kern w:val="0"/>
          <w:sz w:val="28"/>
          <w:szCs w:val="28"/>
          <w:highlight w:val="none"/>
          <w:lang w:bidi="ar"/>
        </w:rPr>
      </w:pPr>
    </w:p>
    <w:p>
      <w:pPr>
        <w:pStyle w:val="12"/>
        <w:rPr>
          <w:rFonts w:hint="eastAsia" w:ascii="宋体" w:hAnsi="宋体" w:eastAsia="宋体" w:cs="宋体"/>
          <w:b/>
          <w:bCs/>
          <w:color w:val="auto"/>
          <w:kern w:val="0"/>
          <w:sz w:val="28"/>
          <w:szCs w:val="28"/>
          <w:highlight w:val="none"/>
          <w:lang w:bidi="ar"/>
        </w:rPr>
      </w:pPr>
    </w:p>
    <w:p>
      <w:pPr>
        <w:pStyle w:val="12"/>
        <w:rPr>
          <w:rFonts w:hint="eastAsia" w:ascii="宋体" w:hAnsi="宋体" w:eastAsia="宋体" w:cs="宋体"/>
          <w:color w:val="auto"/>
          <w:highlight w:val="none"/>
        </w:rPr>
      </w:pPr>
    </w:p>
    <w:p>
      <w:pPr>
        <w:pStyle w:val="6"/>
        <w:jc w:val="center"/>
        <w:rPr>
          <w:rFonts w:hint="eastAsia" w:ascii="宋体" w:hAnsi="宋体" w:eastAsia="宋体" w:cs="宋体"/>
          <w:bCs w:val="0"/>
          <w:color w:val="auto"/>
          <w:kern w:val="0"/>
          <w:sz w:val="32"/>
          <w:szCs w:val="32"/>
          <w:highlight w:val="none"/>
          <w:lang w:bidi="ar"/>
        </w:rPr>
      </w:pPr>
      <w:bookmarkStart w:id="79" w:name="_Toc17330"/>
      <w:bookmarkStart w:id="80" w:name="_Toc3109"/>
      <w:bookmarkStart w:id="81" w:name="_Toc8006"/>
      <w:bookmarkStart w:id="82" w:name="_Toc11194"/>
      <w:bookmarkStart w:id="83" w:name="_Toc26398"/>
      <w:r>
        <w:rPr>
          <w:rFonts w:hint="eastAsia" w:ascii="宋体" w:hAnsi="宋体" w:eastAsia="宋体" w:cs="宋体"/>
          <w:bCs w:val="0"/>
          <w:color w:val="auto"/>
          <w:kern w:val="0"/>
          <w:sz w:val="32"/>
          <w:szCs w:val="32"/>
          <w:highlight w:val="none"/>
          <w:lang w:bidi="ar"/>
        </w:rPr>
        <w:t>九、承诺书</w:t>
      </w:r>
      <w:bookmarkEnd w:id="79"/>
      <w:bookmarkEnd w:id="80"/>
      <w:bookmarkEnd w:id="81"/>
      <w:bookmarkEnd w:id="82"/>
    </w:p>
    <w:p>
      <w:pPr>
        <w:spacing w:line="380" w:lineRule="exact"/>
        <w:jc w:val="center"/>
        <w:rPr>
          <w:rFonts w:hint="eastAsia" w:ascii="宋体" w:hAnsi="宋体" w:eastAsia="宋体" w:cs="宋体"/>
          <w:b/>
          <w:bCs/>
          <w:color w:val="auto"/>
          <w:kern w:val="0"/>
          <w:sz w:val="28"/>
          <w:szCs w:val="28"/>
          <w:highlight w:val="none"/>
          <w:lang w:bidi="ar"/>
        </w:rPr>
      </w:pPr>
      <w:r>
        <w:rPr>
          <w:rFonts w:hint="eastAsia" w:ascii="宋体" w:hAnsi="宋体" w:eastAsia="宋体" w:cs="宋体"/>
          <w:b/>
          <w:bCs/>
          <w:color w:val="auto"/>
          <w:kern w:val="0"/>
          <w:sz w:val="28"/>
          <w:szCs w:val="28"/>
          <w:highlight w:val="none"/>
          <w:lang w:eastAsia="zh-CN" w:bidi="ar"/>
        </w:rPr>
        <w:t>（</w:t>
      </w:r>
      <w:r>
        <w:rPr>
          <w:rFonts w:hint="eastAsia" w:ascii="宋体" w:hAnsi="宋体" w:eastAsia="宋体" w:cs="宋体"/>
          <w:b/>
          <w:bCs/>
          <w:color w:val="auto"/>
          <w:kern w:val="0"/>
          <w:sz w:val="28"/>
          <w:szCs w:val="28"/>
          <w:highlight w:val="none"/>
          <w:lang w:val="en-US" w:eastAsia="zh-CN" w:bidi="ar"/>
        </w:rPr>
        <w:t>一</w:t>
      </w:r>
      <w:r>
        <w:rPr>
          <w:rFonts w:hint="eastAsia" w:ascii="宋体" w:hAnsi="宋体" w:eastAsia="宋体" w:cs="宋体"/>
          <w:b/>
          <w:bCs/>
          <w:color w:val="auto"/>
          <w:kern w:val="0"/>
          <w:sz w:val="28"/>
          <w:szCs w:val="28"/>
          <w:highlight w:val="none"/>
          <w:lang w:eastAsia="zh-CN" w:bidi="ar"/>
        </w:rPr>
        <w:t>）</w:t>
      </w:r>
      <w:r>
        <w:rPr>
          <w:rFonts w:hint="eastAsia" w:ascii="宋体" w:hAnsi="宋体" w:eastAsia="宋体" w:cs="宋体"/>
          <w:b/>
          <w:bCs/>
          <w:color w:val="auto"/>
          <w:kern w:val="0"/>
          <w:sz w:val="28"/>
          <w:szCs w:val="28"/>
          <w:highlight w:val="none"/>
          <w:lang w:bidi="ar"/>
        </w:rPr>
        <w:t xml:space="preserve">承  诺  书 </w:t>
      </w:r>
    </w:p>
    <w:p>
      <w:pPr>
        <w:spacing w:line="380" w:lineRule="exact"/>
        <w:jc w:val="center"/>
        <w:rPr>
          <w:rFonts w:hint="eastAsia" w:ascii="宋体" w:hAnsi="宋体" w:eastAsia="宋体" w:cs="宋体"/>
          <w:b/>
          <w:bCs/>
          <w:color w:val="auto"/>
          <w:kern w:val="0"/>
          <w:sz w:val="28"/>
          <w:szCs w:val="28"/>
          <w:highlight w:val="none"/>
          <w:lang w:bidi="ar"/>
        </w:rPr>
      </w:pPr>
    </w:p>
    <w:p>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高柱城中村改造项目三期商品区地(3#-2)项目供热工程劳务分包</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的采购活动，为保证工程顺利完成，我单位愿做出以下承诺:</w:t>
      </w:r>
    </w:p>
    <w:p>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1、为了保证施工质量，我单位承诺认真执行建设工程施工质量规范、标准(包括强制性标准)的相关规定。</w:t>
      </w:r>
    </w:p>
    <w:p>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2、承诺文明施工，保证现场不出现安全事故，设立现场安全负责人。</w:t>
      </w:r>
    </w:p>
    <w:p>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3、承诺施工人员自觉遵守管理规定，如发生人为的不安全行为，危及人身、财产安全的，必须无条件立即整改。</w:t>
      </w:r>
    </w:p>
    <w:p>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4、承诺按照上级主管部门以及关于农民工工资发放的相关要求，切实做好农民工工资发放工作，</w:t>
      </w:r>
      <w:r>
        <w:rPr>
          <w:rFonts w:hint="eastAsia" w:ascii="宋体" w:hAnsi="宋体" w:eastAsia="宋体" w:cs="宋体"/>
          <w:b/>
          <w:bCs/>
          <w:color w:val="auto"/>
          <w:sz w:val="24"/>
          <w:highlight w:val="none"/>
        </w:rPr>
        <w:t>按月递交农民工考勤、工资表及发放证明。</w:t>
      </w:r>
      <w:r>
        <w:rPr>
          <w:rFonts w:hint="eastAsia" w:ascii="宋体" w:hAnsi="宋体" w:eastAsia="宋体" w:cs="宋体"/>
          <w:color w:val="auto"/>
          <w:sz w:val="24"/>
          <w:highlight w:val="none"/>
        </w:rPr>
        <w:t>如因农民工工资发放、处置不力，导致农民工有不同形式的上访、闹访、集访等事件发生，由此造成的一切不良后果和损失由我公司(或个人)承担。</w:t>
      </w:r>
    </w:p>
    <w:p>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5、我方与全体劳务人员签订劳动合同，并缴纳工伤、意外伤害保险等必要保险 (费用已包含在报价中)，并将所购买的人身保险和工人身份证复印件上交甲方。</w:t>
      </w:r>
    </w:p>
    <w:p>
      <w:pPr>
        <w:rPr>
          <w:rFonts w:hint="eastAsia" w:ascii="宋体" w:hAnsi="宋体" w:eastAsia="宋体" w:cs="宋体"/>
          <w:color w:val="auto"/>
          <w:highlight w:val="none"/>
        </w:rPr>
      </w:pPr>
    </w:p>
    <w:p>
      <w:pPr>
        <w:pStyle w:val="2"/>
        <w:tabs>
          <w:tab w:val="left" w:pos="8280"/>
          <w:tab w:val="clear" w:pos="1155"/>
        </w:tabs>
        <w:ind w:firstLine="528"/>
        <w:rPr>
          <w:rFonts w:hint="eastAsia" w:ascii="宋体" w:hAnsi="宋体" w:eastAsia="宋体" w:cs="宋体"/>
          <w:color w:val="auto"/>
          <w:highlight w:val="none"/>
        </w:rPr>
      </w:pPr>
    </w:p>
    <w:p>
      <w:pPr>
        <w:pStyle w:val="2"/>
        <w:tabs>
          <w:tab w:val="left" w:pos="8280"/>
          <w:tab w:val="clear" w:pos="1155"/>
        </w:tabs>
        <w:ind w:firstLine="528"/>
        <w:rPr>
          <w:rFonts w:hint="eastAsia" w:ascii="宋体" w:hAnsi="宋体" w:eastAsia="宋体" w:cs="宋体"/>
          <w:color w:val="auto"/>
          <w:highlight w:val="none"/>
        </w:rPr>
      </w:pPr>
      <w:r>
        <w:rPr>
          <w:rFonts w:hint="eastAsia" w:ascii="宋体" w:hAnsi="宋体" w:eastAsia="宋体" w:cs="宋体"/>
          <w:color w:val="auto"/>
          <w:highlight w:val="none"/>
        </w:rPr>
        <w:t>特此承诺！</w:t>
      </w:r>
    </w:p>
    <w:p>
      <w:pPr>
        <w:spacing w:line="620" w:lineRule="exact"/>
        <w:ind w:firstLine="4620" w:firstLineChars="1925"/>
        <w:rPr>
          <w:rFonts w:hint="eastAsia" w:ascii="宋体" w:hAnsi="宋体" w:eastAsia="宋体" w:cs="宋体"/>
          <w:color w:val="auto"/>
          <w:kern w:val="0"/>
          <w:sz w:val="24"/>
          <w:highlight w:val="none"/>
          <w:lang w:bidi="ar"/>
        </w:rPr>
      </w:pPr>
    </w:p>
    <w:p>
      <w:pPr>
        <w:spacing w:line="620" w:lineRule="exact"/>
        <w:ind w:firstLine="4620" w:firstLineChars="19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承诺单位：（盖章）</w:t>
      </w:r>
    </w:p>
    <w:p>
      <w:pPr>
        <w:spacing w:line="620" w:lineRule="exact"/>
        <w:ind w:firstLine="4620" w:firstLineChars="19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法定代表人：（签字或印鉴）</w:t>
      </w:r>
    </w:p>
    <w:p>
      <w:pPr>
        <w:spacing w:line="620" w:lineRule="exact"/>
        <w:ind w:firstLine="5520" w:firstLineChars="23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  年   月   日</w:t>
      </w:r>
    </w:p>
    <w:p>
      <w:pPr>
        <w:pStyle w:val="12"/>
        <w:rPr>
          <w:rFonts w:hint="eastAsia" w:ascii="宋体" w:hAnsi="宋体" w:eastAsia="宋体" w:cs="宋体"/>
          <w:color w:val="auto"/>
          <w:kern w:val="0"/>
          <w:highlight w:val="none"/>
          <w:lang w:bidi="ar"/>
        </w:rPr>
      </w:pPr>
    </w:p>
    <w:p>
      <w:pPr>
        <w:rPr>
          <w:rFonts w:hint="eastAsia" w:ascii="宋体" w:hAnsi="宋体" w:eastAsia="宋体" w:cs="宋体"/>
          <w:color w:val="auto"/>
          <w:kern w:val="0"/>
          <w:highlight w:val="none"/>
          <w:lang w:bidi="ar"/>
        </w:rPr>
      </w:pPr>
    </w:p>
    <w:p>
      <w:pPr>
        <w:pStyle w:val="2"/>
        <w:rPr>
          <w:rFonts w:hint="eastAsia" w:ascii="宋体" w:hAnsi="宋体" w:eastAsia="宋体" w:cs="宋体"/>
          <w:color w:val="auto"/>
          <w:kern w:val="0"/>
          <w:highlight w:val="none"/>
          <w:lang w:bidi="ar"/>
        </w:rPr>
      </w:pPr>
    </w:p>
    <w:p>
      <w:pPr>
        <w:spacing w:line="380" w:lineRule="exact"/>
        <w:jc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（二）未被列入失信被执行人名单承诺书</w:t>
      </w:r>
    </w:p>
    <w:p>
      <w:pPr>
        <w:numPr>
          <w:ilvl w:val="0"/>
          <w:numId w:val="0"/>
        </w:numPr>
        <w:spacing w:line="360" w:lineRule="auto"/>
        <w:ind w:firstLine="480" w:firstLineChars="200"/>
        <w:jc w:val="left"/>
        <w:rPr>
          <w:rFonts w:hint="eastAsia" w:ascii="宋体" w:hAnsi="宋体" w:eastAsia="宋体" w:cs="宋体"/>
          <w:color w:val="auto"/>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石家庄承宏工程建设有限公司、河北旭诚智联供应链有限公司：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highlight w:val="none"/>
          <w:u w:val="single"/>
          <w:lang w:val="en-US" w:eastAsia="zh-CN"/>
        </w:rPr>
        <w:t xml:space="preserve">      （供应商名称）            </w:t>
      </w:r>
      <w:r>
        <w:rPr>
          <w:rFonts w:hint="eastAsia" w:ascii="宋体" w:hAnsi="宋体" w:eastAsia="宋体" w:cs="宋体"/>
          <w:color w:val="auto"/>
          <w:sz w:val="24"/>
          <w:highlight w:val="none"/>
          <w:u w:val="none"/>
          <w:lang w:val="en-US" w:eastAsia="zh-CN"/>
        </w:rPr>
        <w:t>参加</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高柱城中村改造项目三期商品区地(3#-2)项目供热工程劳务分包</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的比选工作，郑重承诺：我公司未被列入失信被执行人名单，并对承诺的真实性负责，如有虚假，同意贵方按有关规定追究法律责任。</w:t>
      </w:r>
    </w:p>
    <w:p>
      <w:pPr>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right"/>
        <w:textAlignment w:val="auto"/>
        <w:rPr>
          <w:rFonts w:hint="eastAsia" w:ascii="宋体" w:hAnsi="宋体" w:eastAsia="宋体" w:cs="宋体"/>
          <w:color w:val="auto"/>
          <w:kern w:val="0"/>
          <w:sz w:val="24"/>
          <w:highlight w:val="none"/>
          <w:lang w:eastAsia="zh-CN"/>
        </w:rPr>
      </w:pPr>
    </w:p>
    <w:p>
      <w:pPr>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right"/>
        <w:textAlignment w:val="auto"/>
        <w:rPr>
          <w:rFonts w:hint="eastAsia" w:ascii="宋体" w:hAnsi="宋体" w:eastAsia="宋体" w:cs="宋体"/>
          <w:color w:val="auto"/>
          <w:kern w:val="0"/>
          <w:sz w:val="24"/>
          <w:highlight w:val="none"/>
          <w:lang w:eastAsia="zh-CN"/>
        </w:rPr>
      </w:pPr>
    </w:p>
    <w:p>
      <w:pPr>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right"/>
        <w:textAlignment w:val="auto"/>
        <w:rPr>
          <w:rFonts w:hint="eastAsia" w:ascii="宋体" w:hAnsi="宋体" w:eastAsia="宋体" w:cs="宋体"/>
          <w:color w:val="auto"/>
          <w:kern w:val="0"/>
          <w:sz w:val="24"/>
          <w:highlight w:val="none"/>
          <w:lang w:eastAsia="zh-CN"/>
        </w:rPr>
      </w:pPr>
    </w:p>
    <w:p>
      <w:pPr>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right"/>
        <w:textAlignment w:val="auto"/>
        <w:rPr>
          <w:rFonts w:hint="eastAsia" w:ascii="宋体" w:hAnsi="宋体" w:eastAsia="宋体" w:cs="宋体"/>
          <w:color w:val="auto"/>
          <w:kern w:val="0"/>
          <w:sz w:val="24"/>
          <w:highlight w:val="none"/>
          <w:lang w:eastAsia="zh-CN"/>
        </w:rPr>
      </w:pPr>
    </w:p>
    <w:p>
      <w:pPr>
        <w:pStyle w:val="2"/>
        <w:rPr>
          <w:rFonts w:hint="eastAsia" w:ascii="宋体" w:hAnsi="宋体" w:eastAsia="宋体" w:cs="宋体"/>
          <w:color w:val="auto"/>
          <w:kern w:val="0"/>
          <w:sz w:val="24"/>
          <w:highlight w:val="none"/>
          <w:lang w:eastAsia="zh-CN"/>
        </w:rPr>
      </w:pPr>
    </w:p>
    <w:p>
      <w:pPr>
        <w:rPr>
          <w:rFonts w:hint="eastAsia" w:ascii="宋体" w:hAnsi="宋体" w:eastAsia="宋体" w:cs="宋体"/>
          <w:color w:val="auto"/>
          <w:kern w:val="0"/>
          <w:sz w:val="24"/>
          <w:highlight w:val="none"/>
          <w:lang w:eastAsia="zh-CN"/>
        </w:rPr>
      </w:pPr>
    </w:p>
    <w:p>
      <w:pPr>
        <w:pStyle w:val="2"/>
        <w:rPr>
          <w:rFonts w:hint="eastAsia" w:ascii="宋体" w:hAnsi="宋体" w:eastAsia="宋体" w:cs="宋体"/>
          <w:color w:val="auto"/>
          <w:kern w:val="0"/>
          <w:sz w:val="24"/>
          <w:highlight w:val="none"/>
          <w:lang w:eastAsia="zh-CN"/>
        </w:rPr>
      </w:pPr>
    </w:p>
    <w:p>
      <w:pPr>
        <w:rPr>
          <w:rFonts w:hint="eastAsia" w:ascii="宋体" w:hAnsi="宋体" w:eastAsia="宋体" w:cs="宋体"/>
          <w:color w:val="auto"/>
          <w:kern w:val="0"/>
          <w:sz w:val="24"/>
          <w:highlight w:val="none"/>
          <w:lang w:eastAsia="zh-CN"/>
        </w:rPr>
      </w:pPr>
    </w:p>
    <w:p>
      <w:pPr>
        <w:pStyle w:val="2"/>
        <w:rPr>
          <w:rFonts w:hint="eastAsia" w:ascii="宋体" w:hAnsi="宋体" w:eastAsia="宋体" w:cs="宋体"/>
          <w:color w:val="auto"/>
          <w:kern w:val="0"/>
          <w:sz w:val="24"/>
          <w:highlight w:val="none"/>
          <w:lang w:eastAsia="zh-CN"/>
        </w:rPr>
      </w:pPr>
    </w:p>
    <w:p>
      <w:pPr>
        <w:rPr>
          <w:rFonts w:hint="eastAsia" w:ascii="宋体" w:hAnsi="宋体" w:eastAsia="宋体" w:cs="宋体"/>
          <w:color w:val="auto"/>
          <w:kern w:val="0"/>
          <w:sz w:val="24"/>
          <w:highlight w:val="none"/>
          <w:lang w:eastAsia="zh-CN"/>
        </w:rPr>
      </w:pPr>
    </w:p>
    <w:p>
      <w:pPr>
        <w:pStyle w:val="2"/>
        <w:rPr>
          <w:rFonts w:hint="eastAsia" w:ascii="宋体" w:hAnsi="宋体" w:eastAsia="宋体" w:cs="宋体"/>
          <w:color w:val="auto"/>
          <w:highlight w:val="none"/>
          <w:lang w:eastAsia="zh-CN"/>
        </w:rPr>
      </w:pPr>
    </w:p>
    <w:p>
      <w:pPr>
        <w:spacing w:line="620" w:lineRule="exact"/>
        <w:ind w:firstLine="4620" w:firstLineChars="19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承诺单位：（盖章）</w:t>
      </w:r>
    </w:p>
    <w:p>
      <w:pPr>
        <w:spacing w:line="620" w:lineRule="exact"/>
        <w:ind w:firstLine="4620" w:firstLineChars="1925"/>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法定代表人：（签字或印鉴）</w:t>
      </w:r>
    </w:p>
    <w:p>
      <w:pPr>
        <w:keepNext w:val="0"/>
        <w:keepLines w:val="0"/>
        <w:pageBreakBefore w:val="0"/>
        <w:numPr>
          <w:ilvl w:val="0"/>
          <w:numId w:val="0"/>
        </w:numPr>
        <w:kinsoku/>
        <w:wordWrap/>
        <w:overflowPunct/>
        <w:topLinePunct w:val="0"/>
        <w:autoSpaceDE/>
        <w:autoSpaceDN/>
        <w:bidi w:val="0"/>
        <w:spacing w:line="500" w:lineRule="exact"/>
        <w:ind w:left="6719" w:leftChars="228" w:hanging="6240" w:hangingChars="2600"/>
        <w:jc w:val="left"/>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kern w:val="0"/>
          <w:sz w:val="24"/>
          <w:highlight w:val="none"/>
          <w:lang w:bidi="ar"/>
        </w:rPr>
        <w:t xml:space="preserve"> </w:t>
      </w:r>
      <w:r>
        <w:rPr>
          <w:rFonts w:hint="eastAsia" w:ascii="宋体" w:hAnsi="宋体" w:eastAsia="宋体" w:cs="宋体"/>
          <w:color w:val="auto"/>
          <w:kern w:val="0"/>
          <w:sz w:val="24"/>
          <w:highlight w:val="none"/>
          <w:lang w:val="en-US" w:eastAsia="zh-CN" w:bidi="ar"/>
        </w:rPr>
        <w:t xml:space="preserve">                                               </w:t>
      </w:r>
      <w:r>
        <w:rPr>
          <w:rFonts w:hint="eastAsia" w:ascii="宋体" w:hAnsi="宋体" w:eastAsia="宋体" w:cs="宋体"/>
          <w:color w:val="auto"/>
          <w:kern w:val="0"/>
          <w:sz w:val="24"/>
          <w:highlight w:val="none"/>
          <w:lang w:bidi="ar"/>
        </w:rPr>
        <w:t xml:space="preserve"> 年   月   日</w:t>
      </w:r>
    </w:p>
    <w:p>
      <w:pPr>
        <w:rPr>
          <w:rFonts w:hint="eastAsia" w:ascii="宋体" w:hAnsi="宋体" w:eastAsia="宋体" w:cs="宋体"/>
          <w:color w:val="auto"/>
          <w:highlight w:val="none"/>
          <w:lang w:val="en-US" w:eastAsia="zh-CN"/>
        </w:rPr>
      </w:pPr>
    </w:p>
    <w:p>
      <w:pPr>
        <w:pStyle w:val="2"/>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pStyle w:val="2"/>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pStyle w:val="2"/>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pStyle w:val="2"/>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pStyle w:val="2"/>
        <w:rPr>
          <w:rFonts w:hint="eastAsia" w:ascii="宋体" w:hAnsi="宋体" w:eastAsia="宋体" w:cs="宋体"/>
          <w:color w:val="auto"/>
          <w:highlight w:val="none"/>
        </w:rPr>
      </w:pPr>
    </w:p>
    <w:p>
      <w:pPr>
        <w:pStyle w:val="6"/>
        <w:spacing w:line="500" w:lineRule="exact"/>
        <w:jc w:val="center"/>
        <w:rPr>
          <w:rFonts w:hint="eastAsia" w:ascii="宋体" w:hAnsi="宋体" w:eastAsia="宋体" w:cs="宋体"/>
          <w:bCs w:val="0"/>
          <w:color w:val="auto"/>
          <w:kern w:val="0"/>
          <w:sz w:val="32"/>
          <w:szCs w:val="32"/>
          <w:highlight w:val="none"/>
          <w:lang w:bidi="ar"/>
        </w:rPr>
      </w:pPr>
      <w:bookmarkStart w:id="84" w:name="_Toc19356"/>
      <w:bookmarkStart w:id="85" w:name="_Toc23278"/>
      <w:bookmarkStart w:id="86" w:name="_Toc2867"/>
      <w:bookmarkStart w:id="87" w:name="_Toc9901"/>
      <w:r>
        <w:rPr>
          <w:rFonts w:hint="eastAsia" w:ascii="宋体" w:hAnsi="宋体" w:eastAsia="宋体" w:cs="宋体"/>
          <w:bCs w:val="0"/>
          <w:color w:val="auto"/>
          <w:kern w:val="0"/>
          <w:sz w:val="32"/>
          <w:szCs w:val="32"/>
          <w:highlight w:val="none"/>
          <w:lang w:bidi="ar"/>
        </w:rPr>
        <w:t>十、劳务清单报价表</w:t>
      </w:r>
      <w:bookmarkEnd w:id="84"/>
      <w:bookmarkEnd w:id="85"/>
      <w:bookmarkEnd w:id="86"/>
      <w:bookmarkEnd w:id="87"/>
    </w:p>
    <w:p>
      <w:pPr>
        <w:pStyle w:val="2"/>
        <w:spacing w:line="5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一、劳务报价说明，本次报价包含以下内容：</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车库架空管、室外直埋管及其管件报价包含裸管件保温、管道接头保温补口（含材料，不单独报）；换热站及二网支吊架包含预埋钢板、化学锚栓、膨胀锚栓（螺丝）、聚乙烯四氟垫、管道和支架刷防锈漆；二网基础报价包含钢筋、混凝土等材料费用；</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楼道立管报价含管件安装及与户内预留管连接工作，开洞、孔洞修正、扩洞及套管安装，套管内封堵、套管外封堵（含材料）；立管支架用U型卡、膨胀螺丝、角铁等材料采购及安装费用；立管固定支架材料采购及安装费用；</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3.室外直埋管道沟槽开挖报价含所需机械及人工清槽；回填砂含机械、人工、材料；管沟回填包含所需机械及材料；含所需机械降尘抑尘措施（包括土方苫盖、雾炮喷淋、场地清理等费用）；</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4.室外阀门井报价包含按图纸施工所需的全部材料及机械，除铸铁井盖承宏提供，井室保修二年；</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5.本次报价含水泵、除污器、过滤器就位、安装，大型机组配合设备厂家就位，工程涉及的法兰阀门、过滤器、除污器、软连接等的报价包含所需法兰及螺栓、垫片的材料及安装费；</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6.本次报价包含第一个供热季的调试及试运行费用、站内过滤器、分户过滤器清洗；</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7.包含两个供热季跑冒滴漏维修及管道保温恢复；</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8.本次报价包含可能的协调费、处罚（包含但不限于安全处罚和环保处罚等）、电费、住宿费、工人保险费、管材到场卸车、倒运、退货等涉及人工机械费用等费用；</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9.本次报价为固定单价，工程量据实结算；</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10.安全文明施工：包含灭火器、土工布、降尘抑尘措施、雾炮车、道路冲洗、围挡、警示标志、标牌、焊烟收集器及个人防护用品等；安全文明施工费结算时按项目部认可的签证费用为准。</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11.如无特殊情况，领取的材料超过实际应当用量未退回的，按照甲方采买价格从劳务费中扣除；</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12.各项目按图纸要求进行焊口检测，检测合格率要求达到100%以上，如达不到，按返修口60元/片处罚，并且二次检测费用由劳务承担；合格率低于90%的劳务队伍予以清退。</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13.工艺管道，土建支架部分杆件等穿墙孔洞其空隙应采用防火封堵材料封堵,且穿墙处管道保温材料均为不燃材料;穿墙部分的土建支架钢杆件刷15mm厚LG防火隔热涂料保护层，材料乙供。</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14.楼道立管DN32及以下管道支架包含在管道安装中，不单独计算，施工方应综合考虑报价。</w:t>
      </w:r>
    </w:p>
    <w:p>
      <w:pPr>
        <w:spacing w:line="440" w:lineRule="exact"/>
        <w:ind w:firstLine="547" w:firstLineChars="228"/>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15.项目需要配备专职资料员一名。</w:t>
      </w:r>
    </w:p>
    <w:p>
      <w:pPr>
        <w:spacing w:line="440" w:lineRule="exact"/>
        <w:ind w:firstLine="547" w:firstLineChars="228"/>
        <w:jc w:val="left"/>
        <w:rPr>
          <w:rFonts w:hint="eastAsia" w:ascii="宋体" w:hAnsi="宋体" w:eastAsia="宋体" w:cs="宋体"/>
          <w:color w:val="auto"/>
          <w:sz w:val="24"/>
          <w:highlight w:val="none"/>
          <w:lang w:val="en-US" w:eastAsia="zh-CN"/>
        </w:rPr>
      </w:pPr>
    </w:p>
    <w:p>
      <w:pPr>
        <w:spacing w:line="440" w:lineRule="exact"/>
        <w:ind w:firstLine="547" w:firstLineChars="228"/>
        <w:jc w:val="left"/>
        <w:rPr>
          <w:rFonts w:hint="eastAsia" w:ascii="宋体" w:hAnsi="宋体" w:eastAsia="宋体" w:cs="宋体"/>
          <w:color w:val="auto"/>
          <w:sz w:val="24"/>
          <w:highlight w:val="none"/>
          <w:lang w:val="en-US" w:eastAsia="zh-CN"/>
        </w:rPr>
      </w:pPr>
    </w:p>
    <w:p>
      <w:pPr>
        <w:pStyle w:val="2"/>
        <w:spacing w:line="500" w:lineRule="exact"/>
        <w:rPr>
          <w:rFonts w:hint="eastAsia" w:ascii="宋体" w:hAnsi="宋体" w:eastAsia="宋体" w:cs="宋体"/>
          <w:color w:val="auto"/>
          <w:kern w:val="0"/>
          <w:sz w:val="24"/>
          <w:highlight w:val="none"/>
          <w:lang w:bidi="ar"/>
        </w:rPr>
      </w:pPr>
      <w:r>
        <w:rPr>
          <w:rFonts w:hint="eastAsia" w:ascii="宋体" w:hAnsi="宋体" w:eastAsia="宋体" w:cs="宋体"/>
          <w:b/>
          <w:bCs/>
          <w:color w:val="auto"/>
          <w:sz w:val="24"/>
          <w:highlight w:val="none"/>
        </w:rPr>
        <w:t>二、劳务清单报价表（见附件）</w:t>
      </w:r>
    </w:p>
    <w:p>
      <w:pPr>
        <w:rPr>
          <w:rFonts w:hint="eastAsia" w:ascii="宋体" w:hAnsi="宋体" w:eastAsia="宋体" w:cs="宋体"/>
          <w:b/>
          <w:bCs/>
          <w:color w:val="auto"/>
          <w:kern w:val="0"/>
          <w:sz w:val="28"/>
          <w:szCs w:val="28"/>
          <w:highlight w:val="none"/>
          <w:lang w:bidi="ar"/>
        </w:rPr>
      </w:pPr>
      <w:bookmarkStart w:id="88" w:name="OLE_LINK4"/>
    </w:p>
    <w:p>
      <w:pPr>
        <w:rPr>
          <w:rFonts w:hint="eastAsia" w:ascii="宋体" w:hAnsi="宋体" w:eastAsia="宋体" w:cs="宋体"/>
          <w:b/>
          <w:bCs/>
          <w:color w:val="auto"/>
          <w:kern w:val="0"/>
          <w:sz w:val="28"/>
          <w:szCs w:val="28"/>
          <w:highlight w:val="none"/>
          <w:lang w:bidi="ar"/>
        </w:rPr>
      </w:pPr>
      <w:r>
        <w:rPr>
          <w:rFonts w:hint="eastAsia" w:ascii="宋体" w:hAnsi="宋体" w:eastAsia="宋体" w:cs="宋体"/>
          <w:b/>
          <w:bCs/>
          <w:color w:val="auto"/>
          <w:kern w:val="0"/>
          <w:sz w:val="28"/>
          <w:szCs w:val="28"/>
          <w:highlight w:val="none"/>
          <w:lang w:bidi="ar"/>
        </w:rPr>
        <w:t>注：</w:t>
      </w:r>
      <w:r>
        <w:rPr>
          <w:rFonts w:hint="eastAsia" w:ascii="宋体" w:hAnsi="宋体" w:eastAsia="宋体" w:cs="宋体"/>
          <w:b/>
          <w:bCs/>
          <w:color w:val="auto"/>
          <w:kern w:val="0"/>
          <w:sz w:val="28"/>
          <w:szCs w:val="28"/>
          <w:highlight w:val="none"/>
          <w:lang w:val="en-US" w:eastAsia="zh-CN" w:bidi="ar"/>
        </w:rPr>
        <w:t>1.</w:t>
      </w:r>
      <w:r>
        <w:rPr>
          <w:rFonts w:hint="eastAsia" w:ascii="宋体" w:hAnsi="宋体" w:eastAsia="宋体" w:cs="宋体"/>
          <w:b/>
          <w:bCs/>
          <w:color w:val="auto"/>
          <w:kern w:val="0"/>
          <w:sz w:val="28"/>
          <w:szCs w:val="28"/>
          <w:highlight w:val="none"/>
          <w:lang w:bidi="ar"/>
        </w:rPr>
        <w:t>所有报价清单应逐页加盖供应商单位公章，未逐页加盖响应文件按无效处理。</w:t>
      </w:r>
    </w:p>
    <w:p>
      <w:pPr>
        <w:pStyle w:val="2"/>
        <w:ind w:firstLine="56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kern w:val="0"/>
          <w:sz w:val="28"/>
          <w:szCs w:val="28"/>
          <w:highlight w:val="none"/>
          <w:lang w:val="en-US" w:eastAsia="zh-CN" w:bidi="ar"/>
        </w:rPr>
        <w:t>2.所有报价最多保留两位小数，不得出现隐藏数位。</w:t>
      </w:r>
    </w:p>
    <w:p>
      <w:pPr>
        <w:pStyle w:val="2"/>
        <w:ind w:firstLine="560" w:firstLineChars="200"/>
        <w:rPr>
          <w:rFonts w:hint="eastAsia" w:ascii="宋体" w:hAnsi="宋体" w:eastAsia="宋体" w:cs="宋体"/>
          <w:color w:val="auto"/>
          <w:highlight w:val="none"/>
          <w:lang w:val="en-US" w:eastAsia="zh-CN"/>
        </w:rPr>
      </w:pPr>
    </w:p>
    <w:p>
      <w:pPr>
        <w:pStyle w:val="2"/>
        <w:rPr>
          <w:rFonts w:hint="eastAsia" w:ascii="宋体" w:hAnsi="宋体" w:eastAsia="宋体" w:cs="宋体"/>
          <w:b/>
          <w:bCs/>
          <w:color w:val="auto"/>
          <w:kern w:val="0"/>
          <w:szCs w:val="28"/>
          <w:highlight w:val="none"/>
          <w:lang w:bidi="ar"/>
        </w:rPr>
      </w:pPr>
    </w:p>
    <w:p>
      <w:pPr>
        <w:rPr>
          <w:rFonts w:hint="eastAsia" w:ascii="宋体" w:hAnsi="宋体" w:eastAsia="宋体" w:cs="宋体"/>
          <w:b/>
          <w:bCs/>
          <w:color w:val="auto"/>
          <w:kern w:val="0"/>
          <w:szCs w:val="28"/>
          <w:highlight w:val="none"/>
          <w:lang w:bidi="ar"/>
        </w:rPr>
      </w:pPr>
    </w:p>
    <w:p>
      <w:pPr>
        <w:pStyle w:val="2"/>
        <w:rPr>
          <w:rFonts w:hint="eastAsia" w:ascii="宋体" w:hAnsi="宋体" w:eastAsia="宋体" w:cs="宋体"/>
          <w:b/>
          <w:bCs/>
          <w:color w:val="auto"/>
          <w:kern w:val="0"/>
          <w:szCs w:val="28"/>
          <w:highlight w:val="none"/>
          <w:lang w:bidi="ar"/>
        </w:rPr>
      </w:pPr>
    </w:p>
    <w:p>
      <w:pPr>
        <w:rPr>
          <w:rFonts w:hint="eastAsia" w:ascii="宋体" w:hAnsi="宋体" w:eastAsia="宋体" w:cs="宋体"/>
          <w:b/>
          <w:bCs/>
          <w:color w:val="auto"/>
          <w:kern w:val="0"/>
          <w:szCs w:val="28"/>
          <w:highlight w:val="none"/>
          <w:lang w:bidi="ar"/>
        </w:rPr>
      </w:pPr>
    </w:p>
    <w:p>
      <w:pPr>
        <w:pStyle w:val="2"/>
        <w:rPr>
          <w:rFonts w:hint="eastAsia" w:ascii="宋体" w:hAnsi="宋体" w:eastAsia="宋体" w:cs="宋体"/>
          <w:b/>
          <w:bCs/>
          <w:color w:val="auto"/>
          <w:kern w:val="0"/>
          <w:szCs w:val="28"/>
          <w:highlight w:val="none"/>
          <w:lang w:bidi="ar"/>
        </w:rPr>
      </w:pPr>
    </w:p>
    <w:p>
      <w:pPr>
        <w:rPr>
          <w:rFonts w:hint="eastAsia" w:ascii="宋体" w:hAnsi="宋体" w:eastAsia="宋体" w:cs="宋体"/>
          <w:b/>
          <w:bCs/>
          <w:color w:val="auto"/>
          <w:kern w:val="0"/>
          <w:szCs w:val="28"/>
          <w:highlight w:val="none"/>
          <w:lang w:bidi="ar"/>
        </w:rPr>
      </w:pPr>
    </w:p>
    <w:p>
      <w:pPr>
        <w:pStyle w:val="2"/>
        <w:rPr>
          <w:rFonts w:hint="eastAsia" w:ascii="宋体" w:hAnsi="宋体" w:eastAsia="宋体" w:cs="宋体"/>
          <w:b/>
          <w:bCs/>
          <w:color w:val="auto"/>
          <w:kern w:val="0"/>
          <w:szCs w:val="28"/>
          <w:highlight w:val="none"/>
          <w:lang w:bidi="ar"/>
        </w:rPr>
      </w:pPr>
    </w:p>
    <w:p>
      <w:pPr>
        <w:rPr>
          <w:rFonts w:hint="eastAsia" w:ascii="宋体" w:hAnsi="宋体" w:eastAsia="宋体" w:cs="宋体"/>
          <w:b/>
          <w:bCs/>
          <w:color w:val="auto"/>
          <w:kern w:val="0"/>
          <w:szCs w:val="28"/>
          <w:highlight w:val="none"/>
          <w:lang w:bidi="ar"/>
        </w:rPr>
      </w:pPr>
    </w:p>
    <w:p>
      <w:pPr>
        <w:pStyle w:val="2"/>
        <w:rPr>
          <w:rFonts w:hint="eastAsia" w:ascii="宋体" w:hAnsi="宋体" w:eastAsia="宋体" w:cs="宋体"/>
          <w:b/>
          <w:bCs/>
          <w:color w:val="auto"/>
          <w:kern w:val="0"/>
          <w:szCs w:val="28"/>
          <w:highlight w:val="none"/>
          <w:lang w:bidi="ar"/>
        </w:rPr>
      </w:pPr>
    </w:p>
    <w:p>
      <w:pPr>
        <w:rPr>
          <w:rFonts w:hint="eastAsia" w:ascii="宋体" w:hAnsi="宋体" w:eastAsia="宋体" w:cs="宋体"/>
          <w:b/>
          <w:bCs/>
          <w:color w:val="auto"/>
          <w:kern w:val="0"/>
          <w:szCs w:val="28"/>
          <w:highlight w:val="none"/>
          <w:lang w:bidi="ar"/>
        </w:rPr>
      </w:pPr>
    </w:p>
    <w:p>
      <w:pPr>
        <w:pStyle w:val="2"/>
        <w:rPr>
          <w:rFonts w:hint="eastAsia" w:ascii="宋体" w:hAnsi="宋体" w:eastAsia="宋体" w:cs="宋体"/>
          <w:b/>
          <w:bCs/>
          <w:color w:val="auto"/>
          <w:kern w:val="0"/>
          <w:szCs w:val="28"/>
          <w:highlight w:val="none"/>
          <w:lang w:bidi="ar"/>
        </w:rPr>
      </w:pPr>
    </w:p>
    <w:p>
      <w:pPr>
        <w:rPr>
          <w:rFonts w:hint="eastAsia" w:ascii="宋体" w:hAnsi="宋体" w:eastAsia="宋体" w:cs="宋体"/>
          <w:b/>
          <w:bCs/>
          <w:color w:val="auto"/>
          <w:kern w:val="0"/>
          <w:szCs w:val="28"/>
          <w:highlight w:val="none"/>
          <w:lang w:bidi="ar"/>
        </w:rPr>
      </w:pPr>
    </w:p>
    <w:p>
      <w:pPr>
        <w:pStyle w:val="2"/>
        <w:rPr>
          <w:rFonts w:hint="eastAsia" w:ascii="宋体" w:hAnsi="宋体" w:eastAsia="宋体" w:cs="宋体"/>
          <w:b/>
          <w:bCs/>
          <w:color w:val="auto"/>
          <w:kern w:val="0"/>
          <w:szCs w:val="28"/>
          <w:highlight w:val="none"/>
          <w:lang w:bidi="ar"/>
        </w:rPr>
      </w:pPr>
    </w:p>
    <w:p>
      <w:pPr>
        <w:rPr>
          <w:rFonts w:hint="eastAsia" w:ascii="宋体" w:hAnsi="宋体" w:eastAsia="宋体" w:cs="宋体"/>
          <w:b/>
          <w:bCs/>
          <w:color w:val="auto"/>
          <w:kern w:val="0"/>
          <w:szCs w:val="28"/>
          <w:highlight w:val="none"/>
          <w:lang w:bidi="ar"/>
        </w:rPr>
      </w:pPr>
    </w:p>
    <w:p>
      <w:pPr>
        <w:pStyle w:val="2"/>
        <w:rPr>
          <w:rFonts w:hint="eastAsia" w:ascii="宋体" w:hAnsi="宋体" w:eastAsia="宋体" w:cs="宋体"/>
          <w:b/>
          <w:bCs/>
          <w:color w:val="auto"/>
          <w:kern w:val="0"/>
          <w:szCs w:val="28"/>
          <w:highlight w:val="none"/>
          <w:lang w:bidi="ar"/>
        </w:rPr>
      </w:pPr>
    </w:p>
    <w:p>
      <w:pPr>
        <w:rPr>
          <w:rFonts w:hint="eastAsia" w:ascii="宋体" w:hAnsi="宋体" w:eastAsia="宋体" w:cs="宋体"/>
          <w:b/>
          <w:bCs/>
          <w:color w:val="auto"/>
          <w:kern w:val="0"/>
          <w:szCs w:val="28"/>
          <w:highlight w:val="none"/>
          <w:lang w:bidi="ar"/>
        </w:rPr>
      </w:pPr>
    </w:p>
    <w:p>
      <w:pPr>
        <w:pStyle w:val="2"/>
        <w:rPr>
          <w:rFonts w:hint="eastAsia" w:ascii="宋体" w:hAnsi="宋体" w:eastAsia="宋体" w:cs="宋体"/>
          <w:color w:val="auto"/>
          <w:highlight w:val="none"/>
        </w:rPr>
      </w:pPr>
    </w:p>
    <w:p>
      <w:pPr>
        <w:rPr>
          <w:rFonts w:hint="eastAsia" w:ascii="宋体" w:hAnsi="宋体" w:eastAsia="宋体" w:cs="宋体"/>
          <w:b/>
          <w:bCs/>
          <w:color w:val="auto"/>
          <w:kern w:val="0"/>
          <w:szCs w:val="28"/>
          <w:highlight w:val="none"/>
          <w:lang w:bidi="ar"/>
        </w:rPr>
      </w:pPr>
    </w:p>
    <w:p>
      <w:pPr>
        <w:pStyle w:val="2"/>
        <w:rPr>
          <w:rFonts w:hint="eastAsia" w:ascii="宋体" w:hAnsi="宋体" w:eastAsia="宋体" w:cs="宋体"/>
          <w:b/>
          <w:bCs/>
          <w:color w:val="auto"/>
          <w:kern w:val="0"/>
          <w:szCs w:val="28"/>
          <w:highlight w:val="none"/>
          <w:lang w:bidi="ar"/>
        </w:rPr>
      </w:pPr>
    </w:p>
    <w:p>
      <w:pPr>
        <w:rPr>
          <w:rFonts w:hint="eastAsia" w:ascii="宋体" w:hAnsi="宋体" w:eastAsia="宋体" w:cs="宋体"/>
          <w:color w:val="auto"/>
          <w:highlight w:val="none"/>
        </w:rPr>
      </w:pPr>
    </w:p>
    <w:p>
      <w:pPr>
        <w:rPr>
          <w:rFonts w:hint="eastAsia" w:ascii="宋体" w:hAnsi="宋体" w:eastAsia="宋体" w:cs="宋体"/>
          <w:b/>
          <w:bCs/>
          <w:color w:val="auto"/>
          <w:kern w:val="0"/>
          <w:sz w:val="28"/>
          <w:szCs w:val="28"/>
          <w:highlight w:val="none"/>
          <w:lang w:bidi="ar"/>
        </w:rPr>
      </w:pPr>
    </w:p>
    <w:bookmarkEnd w:id="83"/>
    <w:bookmarkEnd w:id="88"/>
    <w:p>
      <w:pPr>
        <w:pStyle w:val="6"/>
        <w:numPr>
          <w:ilvl w:val="0"/>
          <w:numId w:val="4"/>
        </w:numPr>
        <w:jc w:val="center"/>
        <w:rPr>
          <w:rFonts w:hint="eastAsia" w:ascii="宋体" w:hAnsi="宋体" w:eastAsia="宋体" w:cs="宋体"/>
          <w:bCs w:val="0"/>
          <w:color w:val="auto"/>
          <w:kern w:val="0"/>
          <w:sz w:val="32"/>
          <w:szCs w:val="32"/>
          <w:highlight w:val="none"/>
          <w:lang w:bidi="ar"/>
        </w:rPr>
      </w:pPr>
      <w:bookmarkStart w:id="89" w:name="_Toc31424"/>
      <w:r>
        <w:rPr>
          <w:rFonts w:hint="eastAsia" w:ascii="宋体" w:hAnsi="宋体" w:eastAsia="宋体" w:cs="宋体"/>
          <w:bCs w:val="0"/>
          <w:color w:val="auto"/>
          <w:kern w:val="0"/>
          <w:sz w:val="32"/>
          <w:szCs w:val="32"/>
          <w:highlight w:val="none"/>
          <w:lang w:bidi="ar"/>
        </w:rPr>
        <w:t>技术方案</w:t>
      </w:r>
      <w:bookmarkEnd w:id="89"/>
    </w:p>
    <w:p>
      <w:pPr>
        <w:spacing w:line="48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1.技术方案应包括（但不限于）下列内容：</w:t>
      </w:r>
    </w:p>
    <w:p>
      <w:pPr>
        <w:spacing w:before="48" w:beforeLines="20" w:line="44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1）施工方法及主要技术措施</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2）施工进度计划及保证措施</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3）工程质量保证措施</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4）安全生产及文明施工措施</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5）主要施工机具、劳动力使用计划</w:t>
      </w:r>
    </w:p>
    <w:p>
      <w:pPr>
        <w:tabs>
          <w:tab w:val="left" w:pos="720"/>
        </w:tabs>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2.图表及格式要求：</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附表一 </w:t>
      </w:r>
      <w:r>
        <w:rPr>
          <w:rFonts w:hint="eastAsia" w:ascii="宋体" w:hAnsi="宋体" w:eastAsia="宋体" w:cs="宋体"/>
          <w:color w:val="auto"/>
          <w:sz w:val="24"/>
          <w:highlight w:val="none"/>
          <w:lang w:val="en-US" w:eastAsia="zh-CN"/>
        </w:rPr>
        <w:t>拟投入</w:t>
      </w:r>
      <w:r>
        <w:rPr>
          <w:rFonts w:hint="eastAsia" w:ascii="宋体" w:hAnsi="宋体" w:eastAsia="宋体" w:cs="宋体"/>
          <w:color w:val="auto"/>
          <w:sz w:val="24"/>
          <w:highlight w:val="none"/>
        </w:rPr>
        <w:t>安全文明施工物资</w:t>
      </w:r>
      <w:r>
        <w:rPr>
          <w:rFonts w:hint="eastAsia" w:ascii="宋体" w:hAnsi="宋体" w:eastAsia="宋体" w:cs="宋体"/>
          <w:color w:val="auto"/>
          <w:sz w:val="24"/>
          <w:highlight w:val="none"/>
          <w:lang w:val="en-US" w:eastAsia="zh-CN"/>
        </w:rPr>
        <w:t>表</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附表二 拟投入的主要施工设备表</w:t>
      </w:r>
    </w:p>
    <w:p>
      <w:pPr>
        <w:spacing w:line="480" w:lineRule="exact"/>
        <w:ind w:firstLine="283" w:firstLineChars="11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附表三 劳动力计划表</w:t>
      </w:r>
    </w:p>
    <w:p>
      <w:pPr>
        <w:tabs>
          <w:tab w:val="left" w:pos="720"/>
        </w:tabs>
        <w:spacing w:line="440" w:lineRule="exact"/>
        <w:ind w:firstLine="360" w:firstLineChars="150"/>
        <w:rPr>
          <w:rFonts w:hint="eastAsia" w:ascii="宋体" w:hAnsi="宋体" w:eastAsia="宋体" w:cs="宋体"/>
          <w:color w:val="auto"/>
          <w:sz w:val="24"/>
          <w:highlight w:val="none"/>
        </w:rPr>
      </w:pPr>
    </w:p>
    <w:p>
      <w:pPr>
        <w:pStyle w:val="12"/>
        <w:rPr>
          <w:rFonts w:hint="eastAsia" w:ascii="宋体" w:hAnsi="宋体" w:eastAsia="宋体" w:cs="宋体"/>
          <w:color w:val="auto"/>
          <w:kern w:val="0"/>
          <w:highlight w:val="none"/>
          <w:lang w:bidi="ar"/>
        </w:rPr>
      </w:pPr>
    </w:p>
    <w:p>
      <w:pPr>
        <w:rPr>
          <w:rFonts w:hint="eastAsia" w:ascii="宋体" w:hAnsi="宋体" w:eastAsia="宋体" w:cs="宋体"/>
          <w:color w:val="auto"/>
          <w:kern w:val="0"/>
          <w:sz w:val="24"/>
          <w:highlight w:val="none"/>
          <w:lang w:bidi="ar"/>
        </w:rPr>
      </w:pPr>
    </w:p>
    <w:p>
      <w:pPr>
        <w:pStyle w:val="12"/>
        <w:rPr>
          <w:rFonts w:hint="eastAsia" w:ascii="宋体" w:hAnsi="宋体" w:eastAsia="宋体" w:cs="宋体"/>
          <w:color w:val="auto"/>
          <w:kern w:val="0"/>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highlight w:val="none"/>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pStyle w:val="2"/>
        <w:rPr>
          <w:rFonts w:hint="eastAsia" w:ascii="宋体" w:hAnsi="宋体" w:eastAsia="宋体" w:cs="宋体"/>
          <w:color w:val="auto"/>
          <w:kern w:val="0"/>
          <w:sz w:val="24"/>
          <w:highlight w:val="none"/>
          <w:lang w:bidi="ar"/>
        </w:rPr>
      </w:pPr>
    </w:p>
    <w:p>
      <w:pPr>
        <w:rPr>
          <w:rFonts w:hint="eastAsia" w:ascii="宋体" w:hAnsi="宋体" w:eastAsia="宋体" w:cs="宋体"/>
          <w:color w:val="auto"/>
          <w:kern w:val="0"/>
          <w:sz w:val="24"/>
          <w:highlight w:val="none"/>
          <w:lang w:bidi="ar"/>
        </w:rPr>
      </w:pPr>
    </w:p>
    <w:p>
      <w:pP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附表一：</w:t>
      </w:r>
      <w:r>
        <w:rPr>
          <w:rFonts w:hint="eastAsia" w:ascii="宋体" w:hAnsi="宋体" w:eastAsia="宋体" w:cs="宋体"/>
          <w:b/>
          <w:color w:val="auto"/>
          <w:sz w:val="28"/>
          <w:szCs w:val="28"/>
          <w:highlight w:val="none"/>
          <w:lang w:val="en-US" w:eastAsia="zh-CN"/>
        </w:rPr>
        <w:t>拟投入</w:t>
      </w:r>
      <w:r>
        <w:rPr>
          <w:rFonts w:hint="eastAsia" w:ascii="宋体" w:hAnsi="宋体" w:eastAsia="宋体" w:cs="宋体"/>
          <w:b/>
          <w:color w:val="auto"/>
          <w:sz w:val="28"/>
          <w:szCs w:val="28"/>
          <w:highlight w:val="none"/>
        </w:rPr>
        <w:t>安全文明施工物资</w:t>
      </w:r>
      <w:r>
        <w:rPr>
          <w:rFonts w:hint="eastAsia" w:ascii="宋体" w:hAnsi="宋体" w:eastAsia="宋体" w:cs="宋体"/>
          <w:b/>
          <w:color w:val="auto"/>
          <w:sz w:val="28"/>
          <w:szCs w:val="28"/>
          <w:highlight w:val="none"/>
          <w:lang w:val="en-US" w:eastAsia="zh-CN"/>
        </w:rPr>
        <w:t>表</w:t>
      </w:r>
    </w:p>
    <w:p>
      <w:pPr>
        <w:pStyle w:val="2"/>
        <w:rPr>
          <w:rFonts w:hint="eastAsia" w:ascii="宋体" w:hAnsi="宋体" w:eastAsia="宋体" w:cs="宋体"/>
          <w:color w:val="auto"/>
          <w:highlight w:val="none"/>
        </w:rPr>
      </w:pPr>
    </w:p>
    <w:tbl>
      <w:tblPr>
        <w:tblStyle w:val="22"/>
        <w:tblW w:w="8736" w:type="dxa"/>
        <w:jc w:val="center"/>
        <w:tblLayout w:type="autofit"/>
        <w:tblCellMar>
          <w:top w:w="0" w:type="dxa"/>
          <w:left w:w="108" w:type="dxa"/>
          <w:bottom w:w="0" w:type="dxa"/>
          <w:right w:w="108" w:type="dxa"/>
        </w:tblCellMar>
      </w:tblPr>
      <w:tblGrid>
        <w:gridCol w:w="656"/>
        <w:gridCol w:w="2987"/>
        <w:gridCol w:w="1490"/>
        <w:gridCol w:w="1113"/>
        <w:gridCol w:w="1261"/>
        <w:gridCol w:w="1229"/>
      </w:tblGrid>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物资设备名称</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98"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09" w:hRule="exac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宋体"/>
                <w:color w:val="auto"/>
                <w:szCs w:val="21"/>
                <w:highlight w:val="none"/>
              </w:rPr>
            </w:pPr>
          </w:p>
        </w:tc>
      </w:tr>
    </w:tbl>
    <w:p>
      <w:pPr>
        <w:spacing w:line="340" w:lineRule="exact"/>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 w:val="21"/>
          <w:szCs w:val="21"/>
          <w:highlight w:val="none"/>
        </w:rPr>
        <w:t>备注：</w:t>
      </w:r>
      <w:r>
        <w:rPr>
          <w:rFonts w:hint="eastAsia" w:ascii="宋体" w:hAnsi="宋体" w:eastAsia="宋体" w:cs="宋体"/>
          <w:b/>
          <w:bCs/>
          <w:color w:val="auto"/>
          <w:szCs w:val="21"/>
          <w:highlight w:val="none"/>
          <w:lang w:val="en-US" w:eastAsia="zh-CN"/>
        </w:rPr>
        <w:t>1.此表为必填项，未填响应文件按无效处理。</w:t>
      </w:r>
    </w:p>
    <w:p>
      <w:pPr>
        <w:spacing w:line="340" w:lineRule="exact"/>
        <w:ind w:firstLine="1054" w:firstLineChars="5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2.如中选安全文明施工费结算时以项目部认可的签证费用为准。</w:t>
      </w:r>
    </w:p>
    <w:p>
      <w:pPr>
        <w:spacing w:line="340" w:lineRule="exact"/>
        <w:ind w:firstLine="1054" w:firstLineChars="5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3.此表可根据情况扩展修改。</w:t>
      </w:r>
    </w:p>
    <w:p>
      <w:pPr>
        <w:pStyle w:val="2"/>
        <w:rPr>
          <w:rFonts w:hint="eastAsia" w:ascii="宋体" w:hAnsi="宋体" w:eastAsia="宋体" w:cs="宋体"/>
          <w:color w:val="auto"/>
          <w:highlight w:val="none"/>
        </w:rPr>
      </w:pPr>
    </w:p>
    <w:p>
      <w:pPr>
        <w:rPr>
          <w:rFonts w:hint="eastAsia" w:ascii="宋体" w:hAnsi="宋体" w:eastAsia="宋体" w:cs="宋体"/>
          <w:color w:val="auto"/>
          <w:kern w:val="0"/>
          <w:sz w:val="24"/>
          <w:highlight w:val="none"/>
          <w:lang w:bidi="ar"/>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附表二：拟投入本项目的主要施工设备表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设备名称</w:t>
            </w: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国别</w:t>
            </w:r>
          </w:p>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w:t>
            </w:r>
          </w:p>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年份</w:t>
            </w: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额定功率（kW）</w:t>
            </w: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w:t>
            </w:r>
          </w:p>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能力</w:t>
            </w: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用于施工部位</w:t>
            </w: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bl>
    <w:p>
      <w:pPr>
        <w:spacing w:line="440" w:lineRule="exact"/>
        <w:rPr>
          <w:rFonts w:hint="eastAsia" w:ascii="宋体" w:hAnsi="宋体" w:eastAsia="宋体" w:cs="宋体"/>
          <w:color w:val="auto"/>
          <w:sz w:val="20"/>
          <w:highlight w:val="none"/>
        </w:rPr>
      </w:pPr>
    </w:p>
    <w:p>
      <w:pPr>
        <w:spacing w:line="440" w:lineRule="exact"/>
        <w:rPr>
          <w:rFonts w:hint="eastAsia" w:ascii="宋体" w:hAnsi="宋体" w:eastAsia="宋体" w:cs="宋体"/>
          <w:color w:val="auto"/>
          <w:sz w:val="20"/>
          <w:highlight w:val="none"/>
        </w:rPr>
      </w:pPr>
    </w:p>
    <w:p>
      <w:pPr>
        <w:pStyle w:val="2"/>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pStyle w:val="2"/>
        <w:rPr>
          <w:rFonts w:hint="eastAsia" w:ascii="宋体" w:hAnsi="宋体" w:eastAsia="宋体" w:cs="宋体"/>
          <w:color w:val="auto"/>
          <w:highlight w:val="none"/>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附表三：劳动力计划表</w:t>
      </w:r>
    </w:p>
    <w:p>
      <w:pPr>
        <w:spacing w:line="440" w:lineRule="exact"/>
        <w:ind w:right="62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工种</w:t>
            </w:r>
          </w:p>
        </w:tc>
        <w:tc>
          <w:tcPr>
            <w:tcW w:w="7693"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pPr>
              <w:spacing w:line="440" w:lineRule="exact"/>
              <w:rPr>
                <w:rFonts w:hint="eastAsia" w:ascii="宋体" w:hAnsi="宋体" w:eastAsia="宋体" w:cs="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宋体" w:hAnsi="宋体" w:eastAsia="宋体" w:cs="宋体"/>
                <w:color w:val="auto"/>
                <w:szCs w:val="21"/>
                <w:highlight w:val="none"/>
              </w:rPr>
            </w:pPr>
          </w:p>
        </w:tc>
      </w:tr>
    </w:tbl>
    <w:p>
      <w:pPr>
        <w:pStyle w:val="13"/>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kern w:val="0"/>
          <w:sz w:val="24"/>
          <w:highlight w:val="none"/>
          <w:lang w:bidi="ar"/>
        </w:rPr>
      </w:pPr>
    </w:p>
    <w:p>
      <w:pPr>
        <w:pStyle w:val="6"/>
        <w:jc w:val="center"/>
        <w:rPr>
          <w:rFonts w:hint="eastAsia" w:ascii="宋体" w:hAnsi="宋体" w:eastAsia="宋体" w:cs="宋体"/>
          <w:bCs w:val="0"/>
          <w:color w:val="auto"/>
          <w:kern w:val="0"/>
          <w:sz w:val="32"/>
          <w:szCs w:val="32"/>
          <w:highlight w:val="none"/>
          <w:lang w:bidi="ar"/>
        </w:rPr>
      </w:pPr>
      <w:bookmarkStart w:id="90" w:name="_Toc13943"/>
      <w:r>
        <w:rPr>
          <w:rFonts w:hint="eastAsia" w:ascii="宋体" w:hAnsi="宋体" w:eastAsia="宋体" w:cs="宋体"/>
          <w:bCs w:val="0"/>
          <w:color w:val="auto"/>
          <w:kern w:val="0"/>
          <w:sz w:val="32"/>
          <w:szCs w:val="32"/>
          <w:highlight w:val="none"/>
          <w:lang w:bidi="ar"/>
        </w:rPr>
        <w:t>十二、其他资料</w:t>
      </w:r>
      <w:bookmarkEnd w:id="90"/>
    </w:p>
    <w:p>
      <w:pPr>
        <w:rPr>
          <w:rFonts w:hint="eastAsia" w:ascii="宋体" w:hAnsi="宋体" w:eastAsia="宋体" w:cs="宋体"/>
          <w:color w:val="auto"/>
          <w:sz w:val="24"/>
          <w:highlight w:val="none"/>
        </w:rPr>
      </w:pPr>
    </w:p>
    <w:p>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单位认为应提交的其他资料。</w:t>
      </w:r>
    </w:p>
    <w:p>
      <w:pPr>
        <w:pStyle w:val="2"/>
        <w:tabs>
          <w:tab w:val="left" w:pos="8280"/>
          <w:tab w:val="clear" w:pos="1155"/>
        </w:tabs>
        <w:spacing w:line="520" w:lineRule="exact"/>
        <w:ind w:firstLine="608"/>
        <w:rPr>
          <w:rFonts w:hint="eastAsia" w:ascii="宋体" w:hAnsi="宋体" w:eastAsia="宋体" w:cs="宋体"/>
          <w:color w:val="auto"/>
          <w:szCs w:val="28"/>
          <w:highlight w:val="none"/>
        </w:rPr>
      </w:pPr>
    </w:p>
    <w:p>
      <w:pPr>
        <w:pStyle w:val="2"/>
        <w:tabs>
          <w:tab w:val="left" w:pos="8280"/>
          <w:tab w:val="clear" w:pos="1155"/>
        </w:tabs>
        <w:spacing w:line="520" w:lineRule="exact"/>
        <w:ind w:firstLine="528"/>
        <w:rPr>
          <w:rFonts w:hint="eastAsia" w:ascii="宋体" w:hAnsi="宋体" w:eastAsia="宋体" w:cs="宋体"/>
          <w:color w:val="auto"/>
          <w:highlight w:val="none"/>
        </w:rPr>
      </w:pPr>
    </w:p>
    <w:p>
      <w:pPr>
        <w:pStyle w:val="2"/>
        <w:tabs>
          <w:tab w:val="left" w:pos="8280"/>
          <w:tab w:val="clear" w:pos="1155"/>
        </w:tabs>
        <w:ind w:firstLine="530"/>
        <w:rPr>
          <w:rFonts w:hint="eastAsia" w:ascii="宋体" w:hAnsi="宋体" w:eastAsia="宋体" w:cs="宋体"/>
          <w:b/>
          <w:bCs/>
          <w:color w:val="auto"/>
          <w:highlight w:val="none"/>
        </w:rPr>
      </w:pPr>
    </w:p>
    <w:p>
      <w:pPr>
        <w:pStyle w:val="2"/>
        <w:tabs>
          <w:tab w:val="left" w:pos="8280"/>
          <w:tab w:val="clear" w:pos="1155"/>
        </w:tabs>
        <w:ind w:firstLine="530"/>
        <w:rPr>
          <w:rFonts w:hint="eastAsia" w:ascii="宋体" w:hAnsi="宋体" w:eastAsia="宋体" w:cs="宋体"/>
          <w:b/>
          <w:bCs/>
          <w:color w:val="auto"/>
          <w:highlight w:val="none"/>
        </w:rPr>
      </w:pPr>
    </w:p>
    <w:sectPr>
      <w:footerReference r:id="rId4" w:type="default"/>
      <w:pgSz w:w="11906" w:h="16838"/>
      <w:pgMar w:top="1417" w:right="1417" w:bottom="1417" w:left="1474" w:header="851" w:footer="850" w:gutter="0"/>
      <w:pgBorders>
        <w:top w:val="none" w:sz="0" w:space="0"/>
        <w:left w:val="none" w:sz="0" w:space="0"/>
        <w:bottom w:val="none" w:sz="0" w:space="0"/>
        <w:right w:val="none" w:sz="0" w:space="0"/>
      </w:pgBorders>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295"/>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4731385</wp:posOffset>
              </wp:positionH>
              <wp:positionV relativeFrom="paragraph">
                <wp:posOffset>435610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left:372.55pt;margin-top:34.3pt;height:144pt;width:144pt;mso-position-horizontal-relative:margin;mso-wrap-style:none;z-index:251659264;mso-width-relative:page;mso-height-relative:page;" filled="f" stroked="f" coordsize="21600,21600" o:gfxdata="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ImOy3WAAAACwEAAA8AAAAAAAAAAQAgAAAAIgAAAGRycy9kb3ducmV2Lnht&#10;bFBLAQIUABQAAAAIAIdO4kBnzOrywgEAAI0DAAAOAAAAAAAAAAEAIAAAACUBAABkcnMvZTJvRG9j&#10;LnhtbFBLBQYAAAAABgAGAFkBAABZBQAAAAA=&#10;">
              <v:fill on="f" focussize="0,0"/>
              <v:stroke on="f"/>
              <v:imagedata o:title=""/>
              <o:lock v:ext="edit" aspectratio="f"/>
              <v:textbox inset="0mm,0mm,0mm,0mm" style="mso-fit-shape-to-text:t;">
                <w:txbxContent>
                  <w:p>
                    <w:pPr>
                      <w:pStyle w:val="17"/>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3222625</wp:posOffset>
              </wp:positionH>
              <wp:positionV relativeFrom="paragraph">
                <wp:posOffset>111760</wp:posOffset>
              </wp:positionV>
              <wp:extent cx="813435" cy="1574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3435" cy="157480"/>
                      </a:xfrm>
                      <a:prstGeom prst="rect">
                        <a:avLst/>
                      </a:prstGeom>
                      <a:noFill/>
                      <a:ln>
                        <a:noFill/>
                      </a:ln>
                    </wps:spPr>
                    <wps:txbx>
                      <w:txbxContent>
                        <w:p>
                          <w:pPr>
                            <w:pStyle w:val="17"/>
                          </w:pPr>
                        </w:p>
                      </w:txbxContent>
                    </wps:txbx>
                    <wps:bodyPr lIns="0" tIns="0" rIns="0" bIns="0"/>
                  </wps:wsp>
                </a:graphicData>
              </a:graphic>
            </wp:anchor>
          </w:drawing>
        </mc:Choice>
        <mc:Fallback>
          <w:pict>
            <v:shape id="_x0000_s1026" o:spid="_x0000_s1026" o:spt="202" type="#_x0000_t202" style="position:absolute;left:0pt;margin-left:253.75pt;margin-top:8.8pt;height:12.4pt;width:64.05pt;mso-position-horizontal-relative:margin;z-index:251661312;mso-width-relative:page;mso-height-relative:page;" filled="f" stroked="f" coordsize="21600,21600" o:gfxdata="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NHz9gAAAAJAQAADwAAAAAAAAABACAAAAAiAAAAZHJzL2Rvd25yZXYueG1sUEsBAhQAFAAA&#10;AAgAh07iQJtJRju2AQAAZQMAAA4AAAAAAAAAAQAgAAAAJwEAAGRycy9lMm9Eb2MueG1sUEsFBgAA&#10;AAAGAAYAWQEAAE8FAAAAAA==&#10;">
              <v:fill on="f" focussize="0,0"/>
              <v:stroke on="f"/>
              <v:imagedata o:title=""/>
              <o:lock v:ext="edit" aspectratio="f"/>
              <v:textbox inset="0mm,0mm,0mm,0mm">
                <w:txbxContent>
                  <w:p>
                    <w:pPr>
                      <w:pStyle w:val="17"/>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7"/>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DA0FB"/>
    <w:multiLevelType w:val="singleLevel"/>
    <w:tmpl w:val="C50DA0FB"/>
    <w:lvl w:ilvl="0" w:tentative="0">
      <w:start w:val="3"/>
      <w:numFmt w:val="chineseCounting"/>
      <w:suff w:val="space"/>
      <w:lvlText w:val="第%1章"/>
      <w:lvlJc w:val="left"/>
      <w:rPr>
        <w:rFonts w:hint="eastAsia"/>
      </w:rPr>
    </w:lvl>
  </w:abstractNum>
  <w:abstractNum w:abstractNumId="1">
    <w:nsid w:val="D4385211"/>
    <w:multiLevelType w:val="singleLevel"/>
    <w:tmpl w:val="D4385211"/>
    <w:lvl w:ilvl="0" w:tentative="0">
      <w:start w:val="11"/>
      <w:numFmt w:val="chineseCounting"/>
      <w:suff w:val="nothing"/>
      <w:lvlText w:val="%1、"/>
      <w:lvlJc w:val="left"/>
      <w:rPr>
        <w:rFonts w:hint="eastAsia"/>
      </w:rPr>
    </w:lvl>
  </w:abstractNum>
  <w:abstractNum w:abstractNumId="2">
    <w:nsid w:val="EB257988"/>
    <w:multiLevelType w:val="singleLevel"/>
    <w:tmpl w:val="EB257988"/>
    <w:lvl w:ilvl="0" w:tentative="0">
      <w:start w:val="1"/>
      <w:numFmt w:val="chineseCounting"/>
      <w:suff w:val="nothing"/>
      <w:lvlText w:val="%1、"/>
      <w:lvlJc w:val="left"/>
      <w:rPr>
        <w:rFonts w:hint="eastAsia"/>
      </w:rPr>
    </w:lvl>
  </w:abstractNum>
  <w:abstractNum w:abstractNumId="3">
    <w:nsid w:val="ED7556D4"/>
    <w:multiLevelType w:val="singleLevel"/>
    <w:tmpl w:val="ED7556D4"/>
    <w:lvl w:ilvl="0" w:tentative="0">
      <w:start w:val="1"/>
      <w:numFmt w:val="decimal"/>
      <w:suff w:val="nothing"/>
      <w:lvlText w:val="（%1）"/>
      <w:lvlJc w:val="left"/>
      <w:pPr>
        <w:ind w:left="81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2ZjN2I5ZDdmNWU5NzA2MzFkM2MyNGU1ZDdjZTgifQ=="/>
  </w:docVars>
  <w:rsids>
    <w:rsidRoot w:val="00172A27"/>
    <w:rsid w:val="00004C64"/>
    <w:rsid w:val="00014F44"/>
    <w:rsid w:val="00046C80"/>
    <w:rsid w:val="000C7118"/>
    <w:rsid w:val="000F50CA"/>
    <w:rsid w:val="000F737F"/>
    <w:rsid w:val="00172A27"/>
    <w:rsid w:val="001B3306"/>
    <w:rsid w:val="00202B3E"/>
    <w:rsid w:val="00203199"/>
    <w:rsid w:val="00221431"/>
    <w:rsid w:val="00283357"/>
    <w:rsid w:val="002A3275"/>
    <w:rsid w:val="002C4449"/>
    <w:rsid w:val="002D7D5E"/>
    <w:rsid w:val="003179EF"/>
    <w:rsid w:val="00341974"/>
    <w:rsid w:val="00352AEE"/>
    <w:rsid w:val="003D526B"/>
    <w:rsid w:val="00401423"/>
    <w:rsid w:val="004646DD"/>
    <w:rsid w:val="004F1E85"/>
    <w:rsid w:val="005764FE"/>
    <w:rsid w:val="005C0DA9"/>
    <w:rsid w:val="0067722F"/>
    <w:rsid w:val="00691557"/>
    <w:rsid w:val="00697A77"/>
    <w:rsid w:val="006C2C7B"/>
    <w:rsid w:val="006E0BF5"/>
    <w:rsid w:val="006F0AC8"/>
    <w:rsid w:val="00763630"/>
    <w:rsid w:val="007B0777"/>
    <w:rsid w:val="007C09A0"/>
    <w:rsid w:val="00817E2E"/>
    <w:rsid w:val="008264A6"/>
    <w:rsid w:val="00927258"/>
    <w:rsid w:val="009F7202"/>
    <w:rsid w:val="00A95008"/>
    <w:rsid w:val="00AA5946"/>
    <w:rsid w:val="00AD0340"/>
    <w:rsid w:val="00D560C5"/>
    <w:rsid w:val="00DD4667"/>
    <w:rsid w:val="00E76D7C"/>
    <w:rsid w:val="00ED7A88"/>
    <w:rsid w:val="00EE2935"/>
    <w:rsid w:val="00F431B9"/>
    <w:rsid w:val="0111775B"/>
    <w:rsid w:val="013F09F4"/>
    <w:rsid w:val="01405E3E"/>
    <w:rsid w:val="0156177E"/>
    <w:rsid w:val="015C66DF"/>
    <w:rsid w:val="01627DEB"/>
    <w:rsid w:val="01924601"/>
    <w:rsid w:val="01A81E5C"/>
    <w:rsid w:val="01B26739"/>
    <w:rsid w:val="01BC027B"/>
    <w:rsid w:val="01CD47B6"/>
    <w:rsid w:val="01E46384"/>
    <w:rsid w:val="021466B3"/>
    <w:rsid w:val="02482F74"/>
    <w:rsid w:val="02691984"/>
    <w:rsid w:val="029464D8"/>
    <w:rsid w:val="0295277A"/>
    <w:rsid w:val="02CC76D3"/>
    <w:rsid w:val="02DE0761"/>
    <w:rsid w:val="02E36786"/>
    <w:rsid w:val="02E378B3"/>
    <w:rsid w:val="02F519F3"/>
    <w:rsid w:val="03024860"/>
    <w:rsid w:val="031418F0"/>
    <w:rsid w:val="0330707F"/>
    <w:rsid w:val="03403BCC"/>
    <w:rsid w:val="03773FC1"/>
    <w:rsid w:val="03806F86"/>
    <w:rsid w:val="038D1289"/>
    <w:rsid w:val="039A6E39"/>
    <w:rsid w:val="03B64756"/>
    <w:rsid w:val="03B66504"/>
    <w:rsid w:val="03E24CA9"/>
    <w:rsid w:val="04041965"/>
    <w:rsid w:val="0430275A"/>
    <w:rsid w:val="046E69E5"/>
    <w:rsid w:val="048752A2"/>
    <w:rsid w:val="049D5AFA"/>
    <w:rsid w:val="04D62941"/>
    <w:rsid w:val="04FF037E"/>
    <w:rsid w:val="050623CA"/>
    <w:rsid w:val="05197722"/>
    <w:rsid w:val="051E208C"/>
    <w:rsid w:val="052B546B"/>
    <w:rsid w:val="054E4957"/>
    <w:rsid w:val="05570B45"/>
    <w:rsid w:val="058017E4"/>
    <w:rsid w:val="05C030DA"/>
    <w:rsid w:val="05C7169D"/>
    <w:rsid w:val="05CC0260"/>
    <w:rsid w:val="05F041C0"/>
    <w:rsid w:val="06067BCB"/>
    <w:rsid w:val="064F47F2"/>
    <w:rsid w:val="06511219"/>
    <w:rsid w:val="06662AB3"/>
    <w:rsid w:val="068D1959"/>
    <w:rsid w:val="06A76E47"/>
    <w:rsid w:val="06C25EF7"/>
    <w:rsid w:val="06EA798E"/>
    <w:rsid w:val="070224EE"/>
    <w:rsid w:val="070843B6"/>
    <w:rsid w:val="076256AF"/>
    <w:rsid w:val="07A75E87"/>
    <w:rsid w:val="07AF3996"/>
    <w:rsid w:val="07D26493"/>
    <w:rsid w:val="080D5407"/>
    <w:rsid w:val="083E2F6B"/>
    <w:rsid w:val="085C75B8"/>
    <w:rsid w:val="08844F66"/>
    <w:rsid w:val="089E4B20"/>
    <w:rsid w:val="08A331FF"/>
    <w:rsid w:val="08B17BE1"/>
    <w:rsid w:val="08B97B9F"/>
    <w:rsid w:val="08C87A1F"/>
    <w:rsid w:val="08D12DD6"/>
    <w:rsid w:val="08D46E24"/>
    <w:rsid w:val="08E37F13"/>
    <w:rsid w:val="08E70CEF"/>
    <w:rsid w:val="08F33881"/>
    <w:rsid w:val="08FD6892"/>
    <w:rsid w:val="091044EC"/>
    <w:rsid w:val="09273409"/>
    <w:rsid w:val="093B48B8"/>
    <w:rsid w:val="094C1807"/>
    <w:rsid w:val="095F13EB"/>
    <w:rsid w:val="097114C8"/>
    <w:rsid w:val="09B74B30"/>
    <w:rsid w:val="09B96068"/>
    <w:rsid w:val="09C00AFC"/>
    <w:rsid w:val="09CF1C32"/>
    <w:rsid w:val="09D332CE"/>
    <w:rsid w:val="09D62595"/>
    <w:rsid w:val="09F8206C"/>
    <w:rsid w:val="0A46459A"/>
    <w:rsid w:val="0A740A1D"/>
    <w:rsid w:val="0A9771DA"/>
    <w:rsid w:val="0AC9453B"/>
    <w:rsid w:val="0ACF61B8"/>
    <w:rsid w:val="0AD100BF"/>
    <w:rsid w:val="0AD211C7"/>
    <w:rsid w:val="0AF40659"/>
    <w:rsid w:val="0B09160F"/>
    <w:rsid w:val="0B3A6748"/>
    <w:rsid w:val="0B3F0407"/>
    <w:rsid w:val="0B4437B1"/>
    <w:rsid w:val="0B4D7ACC"/>
    <w:rsid w:val="0B625697"/>
    <w:rsid w:val="0B7E21AE"/>
    <w:rsid w:val="0B7F7AE6"/>
    <w:rsid w:val="0B851C50"/>
    <w:rsid w:val="0B910ED9"/>
    <w:rsid w:val="0BBD7979"/>
    <w:rsid w:val="0BDD06D2"/>
    <w:rsid w:val="0C0F0E5D"/>
    <w:rsid w:val="0C450D6C"/>
    <w:rsid w:val="0C4E41B3"/>
    <w:rsid w:val="0C4F5B11"/>
    <w:rsid w:val="0C873BC0"/>
    <w:rsid w:val="0CA75FE9"/>
    <w:rsid w:val="0CF07C3A"/>
    <w:rsid w:val="0CFA095E"/>
    <w:rsid w:val="0CFD1FA3"/>
    <w:rsid w:val="0D071CCE"/>
    <w:rsid w:val="0D083455"/>
    <w:rsid w:val="0D1644B7"/>
    <w:rsid w:val="0D1958EA"/>
    <w:rsid w:val="0D6830E6"/>
    <w:rsid w:val="0D81173E"/>
    <w:rsid w:val="0D8F1A4E"/>
    <w:rsid w:val="0DB671A8"/>
    <w:rsid w:val="0DD42A3B"/>
    <w:rsid w:val="0DD76319"/>
    <w:rsid w:val="0E1053AA"/>
    <w:rsid w:val="0E1244F4"/>
    <w:rsid w:val="0E195CD7"/>
    <w:rsid w:val="0E245572"/>
    <w:rsid w:val="0E255E68"/>
    <w:rsid w:val="0E3D753A"/>
    <w:rsid w:val="0E6D7D87"/>
    <w:rsid w:val="0E7A447D"/>
    <w:rsid w:val="0E8B20F7"/>
    <w:rsid w:val="0EA63619"/>
    <w:rsid w:val="0EAD1F35"/>
    <w:rsid w:val="0ECD26A8"/>
    <w:rsid w:val="0EFC542D"/>
    <w:rsid w:val="0F094907"/>
    <w:rsid w:val="0F0C5B71"/>
    <w:rsid w:val="0F11138C"/>
    <w:rsid w:val="0F1C55DE"/>
    <w:rsid w:val="0F287E14"/>
    <w:rsid w:val="0F3C2183"/>
    <w:rsid w:val="0F4D38FA"/>
    <w:rsid w:val="0F683238"/>
    <w:rsid w:val="0F751406"/>
    <w:rsid w:val="0F9769B2"/>
    <w:rsid w:val="0FB334F2"/>
    <w:rsid w:val="0FBE3999"/>
    <w:rsid w:val="0FCA25C0"/>
    <w:rsid w:val="10122F15"/>
    <w:rsid w:val="103847A1"/>
    <w:rsid w:val="10484EAB"/>
    <w:rsid w:val="1051449A"/>
    <w:rsid w:val="10530920"/>
    <w:rsid w:val="10B83C24"/>
    <w:rsid w:val="10EE41A2"/>
    <w:rsid w:val="10F6674B"/>
    <w:rsid w:val="110765D4"/>
    <w:rsid w:val="115647A1"/>
    <w:rsid w:val="11E77AE5"/>
    <w:rsid w:val="12044FE2"/>
    <w:rsid w:val="123D251C"/>
    <w:rsid w:val="126E06F9"/>
    <w:rsid w:val="12945BE2"/>
    <w:rsid w:val="12997D3C"/>
    <w:rsid w:val="12B229AE"/>
    <w:rsid w:val="12E50BB3"/>
    <w:rsid w:val="12F933E4"/>
    <w:rsid w:val="12FB03D7"/>
    <w:rsid w:val="130A45A0"/>
    <w:rsid w:val="13542D2B"/>
    <w:rsid w:val="13602D13"/>
    <w:rsid w:val="13787ACC"/>
    <w:rsid w:val="137F7DA4"/>
    <w:rsid w:val="13AC0C26"/>
    <w:rsid w:val="13B42F5A"/>
    <w:rsid w:val="13B60AF5"/>
    <w:rsid w:val="13C73778"/>
    <w:rsid w:val="13D20CDB"/>
    <w:rsid w:val="13D247DC"/>
    <w:rsid w:val="13D529D6"/>
    <w:rsid w:val="13EE6172"/>
    <w:rsid w:val="140E5CC7"/>
    <w:rsid w:val="141A6B7F"/>
    <w:rsid w:val="1424615A"/>
    <w:rsid w:val="145C3548"/>
    <w:rsid w:val="146503D1"/>
    <w:rsid w:val="1469194C"/>
    <w:rsid w:val="14AE6D61"/>
    <w:rsid w:val="14C117D0"/>
    <w:rsid w:val="151439D2"/>
    <w:rsid w:val="15270110"/>
    <w:rsid w:val="15282BA2"/>
    <w:rsid w:val="15491DB4"/>
    <w:rsid w:val="154C06FA"/>
    <w:rsid w:val="15891FD5"/>
    <w:rsid w:val="15A95437"/>
    <w:rsid w:val="15C0510A"/>
    <w:rsid w:val="15CA1404"/>
    <w:rsid w:val="15D46CBD"/>
    <w:rsid w:val="15E7606D"/>
    <w:rsid w:val="15E80F18"/>
    <w:rsid w:val="15F27E2C"/>
    <w:rsid w:val="160A3C74"/>
    <w:rsid w:val="162815F2"/>
    <w:rsid w:val="1698748D"/>
    <w:rsid w:val="16BE133F"/>
    <w:rsid w:val="16C703BB"/>
    <w:rsid w:val="16D3294B"/>
    <w:rsid w:val="170F142A"/>
    <w:rsid w:val="17530D90"/>
    <w:rsid w:val="176063AF"/>
    <w:rsid w:val="177C3273"/>
    <w:rsid w:val="177F42A1"/>
    <w:rsid w:val="17AA2ACD"/>
    <w:rsid w:val="17D664FB"/>
    <w:rsid w:val="17D86ED1"/>
    <w:rsid w:val="17DA603F"/>
    <w:rsid w:val="1803792E"/>
    <w:rsid w:val="18253800"/>
    <w:rsid w:val="18270E13"/>
    <w:rsid w:val="182A12BF"/>
    <w:rsid w:val="18510A99"/>
    <w:rsid w:val="18566E61"/>
    <w:rsid w:val="18623D43"/>
    <w:rsid w:val="18CF032B"/>
    <w:rsid w:val="191F641D"/>
    <w:rsid w:val="193A6D97"/>
    <w:rsid w:val="193F08F1"/>
    <w:rsid w:val="195C0217"/>
    <w:rsid w:val="196378AE"/>
    <w:rsid w:val="196D36B1"/>
    <w:rsid w:val="19836A30"/>
    <w:rsid w:val="198A357F"/>
    <w:rsid w:val="19B16F80"/>
    <w:rsid w:val="19D90313"/>
    <w:rsid w:val="19E60E4E"/>
    <w:rsid w:val="1A112A98"/>
    <w:rsid w:val="1A2100F5"/>
    <w:rsid w:val="1A501D28"/>
    <w:rsid w:val="1A62660A"/>
    <w:rsid w:val="1A673E98"/>
    <w:rsid w:val="1A722F8D"/>
    <w:rsid w:val="1A733326"/>
    <w:rsid w:val="1A9058A9"/>
    <w:rsid w:val="1AAB26E2"/>
    <w:rsid w:val="1AB93DA0"/>
    <w:rsid w:val="1AD4629B"/>
    <w:rsid w:val="1ADF6B10"/>
    <w:rsid w:val="1B0C53B9"/>
    <w:rsid w:val="1B4B3CE5"/>
    <w:rsid w:val="1B7C32A7"/>
    <w:rsid w:val="1B8C7FC0"/>
    <w:rsid w:val="1BB7608B"/>
    <w:rsid w:val="1BB90559"/>
    <w:rsid w:val="1BC11D23"/>
    <w:rsid w:val="1BD50803"/>
    <w:rsid w:val="1BDD1C2D"/>
    <w:rsid w:val="1BDE68FA"/>
    <w:rsid w:val="1C143DF4"/>
    <w:rsid w:val="1C204A0A"/>
    <w:rsid w:val="1C28484D"/>
    <w:rsid w:val="1C3E0D8A"/>
    <w:rsid w:val="1C457F29"/>
    <w:rsid w:val="1C712174"/>
    <w:rsid w:val="1C780D06"/>
    <w:rsid w:val="1C8E5517"/>
    <w:rsid w:val="1C9167E2"/>
    <w:rsid w:val="1CEE01FD"/>
    <w:rsid w:val="1CFD2E14"/>
    <w:rsid w:val="1D317BC8"/>
    <w:rsid w:val="1D3F57B1"/>
    <w:rsid w:val="1D615978"/>
    <w:rsid w:val="1D676269"/>
    <w:rsid w:val="1D8A58BD"/>
    <w:rsid w:val="1DA94467"/>
    <w:rsid w:val="1DAB1C4E"/>
    <w:rsid w:val="1DB45209"/>
    <w:rsid w:val="1DB76513"/>
    <w:rsid w:val="1DED1125"/>
    <w:rsid w:val="1DF0665E"/>
    <w:rsid w:val="1DF158E7"/>
    <w:rsid w:val="1E2A1937"/>
    <w:rsid w:val="1E326C77"/>
    <w:rsid w:val="1E7D53A0"/>
    <w:rsid w:val="1E815B99"/>
    <w:rsid w:val="1E9D5C4E"/>
    <w:rsid w:val="1EAC6A29"/>
    <w:rsid w:val="1EC616AE"/>
    <w:rsid w:val="1EEE2B9E"/>
    <w:rsid w:val="1F2B39CB"/>
    <w:rsid w:val="1F3527EB"/>
    <w:rsid w:val="1F5B05CE"/>
    <w:rsid w:val="1F61797E"/>
    <w:rsid w:val="1F6327D4"/>
    <w:rsid w:val="1F856646"/>
    <w:rsid w:val="1FBD4650"/>
    <w:rsid w:val="202C1535"/>
    <w:rsid w:val="20791647"/>
    <w:rsid w:val="208C4474"/>
    <w:rsid w:val="20937CAB"/>
    <w:rsid w:val="20966927"/>
    <w:rsid w:val="20E5288B"/>
    <w:rsid w:val="20FF79BF"/>
    <w:rsid w:val="212B632B"/>
    <w:rsid w:val="21696A82"/>
    <w:rsid w:val="216D5574"/>
    <w:rsid w:val="216F1AEC"/>
    <w:rsid w:val="218605B1"/>
    <w:rsid w:val="21910F4E"/>
    <w:rsid w:val="219F2875"/>
    <w:rsid w:val="21B75E11"/>
    <w:rsid w:val="21D2790B"/>
    <w:rsid w:val="22166A7F"/>
    <w:rsid w:val="22317971"/>
    <w:rsid w:val="2254540E"/>
    <w:rsid w:val="225C20C9"/>
    <w:rsid w:val="225C23A6"/>
    <w:rsid w:val="22BE5BE2"/>
    <w:rsid w:val="22CA17DD"/>
    <w:rsid w:val="22F814A8"/>
    <w:rsid w:val="23172D8A"/>
    <w:rsid w:val="231A075E"/>
    <w:rsid w:val="234B5903"/>
    <w:rsid w:val="234D0AD8"/>
    <w:rsid w:val="23560464"/>
    <w:rsid w:val="23693DF3"/>
    <w:rsid w:val="23A21F86"/>
    <w:rsid w:val="241F1A4B"/>
    <w:rsid w:val="2423778D"/>
    <w:rsid w:val="24241FC4"/>
    <w:rsid w:val="242B0311"/>
    <w:rsid w:val="24325B9D"/>
    <w:rsid w:val="243341C2"/>
    <w:rsid w:val="24755256"/>
    <w:rsid w:val="247973AD"/>
    <w:rsid w:val="24A616FA"/>
    <w:rsid w:val="24B7766B"/>
    <w:rsid w:val="24CB4246"/>
    <w:rsid w:val="25010274"/>
    <w:rsid w:val="254A5A35"/>
    <w:rsid w:val="255E767B"/>
    <w:rsid w:val="256C658B"/>
    <w:rsid w:val="25787A64"/>
    <w:rsid w:val="258F63EA"/>
    <w:rsid w:val="25995468"/>
    <w:rsid w:val="25E5678F"/>
    <w:rsid w:val="262A3F60"/>
    <w:rsid w:val="263830D3"/>
    <w:rsid w:val="266E17DC"/>
    <w:rsid w:val="26734A4E"/>
    <w:rsid w:val="268B0CC8"/>
    <w:rsid w:val="269022F8"/>
    <w:rsid w:val="26FD2EB0"/>
    <w:rsid w:val="27076141"/>
    <w:rsid w:val="27135B8A"/>
    <w:rsid w:val="272112F4"/>
    <w:rsid w:val="276D0DCF"/>
    <w:rsid w:val="2775496D"/>
    <w:rsid w:val="27F703DA"/>
    <w:rsid w:val="28042BB9"/>
    <w:rsid w:val="280F4EAC"/>
    <w:rsid w:val="28107A86"/>
    <w:rsid w:val="286936B4"/>
    <w:rsid w:val="286C6B36"/>
    <w:rsid w:val="28707ECA"/>
    <w:rsid w:val="289E6721"/>
    <w:rsid w:val="28A34F88"/>
    <w:rsid w:val="28C3509B"/>
    <w:rsid w:val="2907532F"/>
    <w:rsid w:val="2910157E"/>
    <w:rsid w:val="294B347C"/>
    <w:rsid w:val="29787DF3"/>
    <w:rsid w:val="297B3226"/>
    <w:rsid w:val="299A0D32"/>
    <w:rsid w:val="29EB065A"/>
    <w:rsid w:val="2A0D122A"/>
    <w:rsid w:val="2A2658E2"/>
    <w:rsid w:val="2A7C30BA"/>
    <w:rsid w:val="2A7E57F0"/>
    <w:rsid w:val="2A984BE7"/>
    <w:rsid w:val="2A9F7442"/>
    <w:rsid w:val="2AC855F1"/>
    <w:rsid w:val="2AFF63F8"/>
    <w:rsid w:val="2B163DD2"/>
    <w:rsid w:val="2B3774E1"/>
    <w:rsid w:val="2B544B16"/>
    <w:rsid w:val="2B7D36D1"/>
    <w:rsid w:val="2B7E4A9E"/>
    <w:rsid w:val="2BB331A5"/>
    <w:rsid w:val="2BB84C5F"/>
    <w:rsid w:val="2BC17E69"/>
    <w:rsid w:val="2BDF12FE"/>
    <w:rsid w:val="2BEB051C"/>
    <w:rsid w:val="2BF57260"/>
    <w:rsid w:val="2C1347E4"/>
    <w:rsid w:val="2C366F11"/>
    <w:rsid w:val="2C694D7E"/>
    <w:rsid w:val="2C6B0C17"/>
    <w:rsid w:val="2C9132CA"/>
    <w:rsid w:val="2C9A4365"/>
    <w:rsid w:val="2CB547C2"/>
    <w:rsid w:val="2CC41C4B"/>
    <w:rsid w:val="2CF362FD"/>
    <w:rsid w:val="2CF926E4"/>
    <w:rsid w:val="2D0D47CD"/>
    <w:rsid w:val="2D102BF9"/>
    <w:rsid w:val="2D3C76F4"/>
    <w:rsid w:val="2D3E010B"/>
    <w:rsid w:val="2D4D636B"/>
    <w:rsid w:val="2D562DE4"/>
    <w:rsid w:val="2D6B2EB5"/>
    <w:rsid w:val="2DAF2092"/>
    <w:rsid w:val="2DBA2F55"/>
    <w:rsid w:val="2DC1020F"/>
    <w:rsid w:val="2DE11387"/>
    <w:rsid w:val="2E284C7E"/>
    <w:rsid w:val="2E79792A"/>
    <w:rsid w:val="2E8B665B"/>
    <w:rsid w:val="2E912DC7"/>
    <w:rsid w:val="2EBE11F1"/>
    <w:rsid w:val="2EC63817"/>
    <w:rsid w:val="2ED07271"/>
    <w:rsid w:val="2F3858F3"/>
    <w:rsid w:val="2FCF70DB"/>
    <w:rsid w:val="2FE43DD4"/>
    <w:rsid w:val="30240B15"/>
    <w:rsid w:val="303D0613"/>
    <w:rsid w:val="30403DE9"/>
    <w:rsid w:val="30622AB9"/>
    <w:rsid w:val="30A365A7"/>
    <w:rsid w:val="30A746DC"/>
    <w:rsid w:val="30AA1882"/>
    <w:rsid w:val="30EF0850"/>
    <w:rsid w:val="3112086C"/>
    <w:rsid w:val="31181622"/>
    <w:rsid w:val="3122326C"/>
    <w:rsid w:val="31504BCA"/>
    <w:rsid w:val="3179279B"/>
    <w:rsid w:val="31794157"/>
    <w:rsid w:val="31943FF3"/>
    <w:rsid w:val="31A274B0"/>
    <w:rsid w:val="31A625A3"/>
    <w:rsid w:val="31B330A9"/>
    <w:rsid w:val="31E10868"/>
    <w:rsid w:val="31E57A28"/>
    <w:rsid w:val="32010D08"/>
    <w:rsid w:val="321C62E8"/>
    <w:rsid w:val="32257A6D"/>
    <w:rsid w:val="324B7C11"/>
    <w:rsid w:val="329F7084"/>
    <w:rsid w:val="32CD234D"/>
    <w:rsid w:val="330508B6"/>
    <w:rsid w:val="331034BC"/>
    <w:rsid w:val="33313F35"/>
    <w:rsid w:val="338E62D4"/>
    <w:rsid w:val="3390532E"/>
    <w:rsid w:val="33990A21"/>
    <w:rsid w:val="33B40CA0"/>
    <w:rsid w:val="33D44600"/>
    <w:rsid w:val="34894ACA"/>
    <w:rsid w:val="34BC04BE"/>
    <w:rsid w:val="34C0625E"/>
    <w:rsid w:val="34C757E7"/>
    <w:rsid w:val="35212D70"/>
    <w:rsid w:val="35287674"/>
    <w:rsid w:val="354547DD"/>
    <w:rsid w:val="355318B8"/>
    <w:rsid w:val="357C7C52"/>
    <w:rsid w:val="359E527F"/>
    <w:rsid w:val="35CC1E73"/>
    <w:rsid w:val="35D20537"/>
    <w:rsid w:val="35E55632"/>
    <w:rsid w:val="35EC2E63"/>
    <w:rsid w:val="35F24ED4"/>
    <w:rsid w:val="35F50137"/>
    <w:rsid w:val="36033ED5"/>
    <w:rsid w:val="36574772"/>
    <w:rsid w:val="36986A0F"/>
    <w:rsid w:val="36E81282"/>
    <w:rsid w:val="370D2DA5"/>
    <w:rsid w:val="37421592"/>
    <w:rsid w:val="374750E9"/>
    <w:rsid w:val="374B6987"/>
    <w:rsid w:val="37726F64"/>
    <w:rsid w:val="37AA1E6B"/>
    <w:rsid w:val="37BA1D5F"/>
    <w:rsid w:val="37C65CB3"/>
    <w:rsid w:val="37FB533B"/>
    <w:rsid w:val="382C5C80"/>
    <w:rsid w:val="382F1C4B"/>
    <w:rsid w:val="386C12AB"/>
    <w:rsid w:val="387C6CD3"/>
    <w:rsid w:val="38BD3C39"/>
    <w:rsid w:val="38BF356E"/>
    <w:rsid w:val="38CC1E7E"/>
    <w:rsid w:val="38E10C17"/>
    <w:rsid w:val="39072947"/>
    <w:rsid w:val="390F0E67"/>
    <w:rsid w:val="39205A6E"/>
    <w:rsid w:val="39322A6C"/>
    <w:rsid w:val="39351138"/>
    <w:rsid w:val="394F514D"/>
    <w:rsid w:val="3961076D"/>
    <w:rsid w:val="39671A73"/>
    <w:rsid w:val="398A6F78"/>
    <w:rsid w:val="398B6DCA"/>
    <w:rsid w:val="3A3C6F5F"/>
    <w:rsid w:val="3A5B15D7"/>
    <w:rsid w:val="3A5D111F"/>
    <w:rsid w:val="3A7B01B9"/>
    <w:rsid w:val="3A84498A"/>
    <w:rsid w:val="3A9326E7"/>
    <w:rsid w:val="3A9453AE"/>
    <w:rsid w:val="3AC9024C"/>
    <w:rsid w:val="3B323F66"/>
    <w:rsid w:val="3B6F42AD"/>
    <w:rsid w:val="3B7C7A57"/>
    <w:rsid w:val="3B826922"/>
    <w:rsid w:val="3B861270"/>
    <w:rsid w:val="3B8F3959"/>
    <w:rsid w:val="3BB261EF"/>
    <w:rsid w:val="3BBE74CB"/>
    <w:rsid w:val="3BD15BD6"/>
    <w:rsid w:val="3C0435A9"/>
    <w:rsid w:val="3C436364"/>
    <w:rsid w:val="3C4A598C"/>
    <w:rsid w:val="3C4E2A76"/>
    <w:rsid w:val="3C8D5B9B"/>
    <w:rsid w:val="3C9B2663"/>
    <w:rsid w:val="3CA05C88"/>
    <w:rsid w:val="3CC16B3B"/>
    <w:rsid w:val="3CD411CD"/>
    <w:rsid w:val="3CF278A5"/>
    <w:rsid w:val="3D2F1B60"/>
    <w:rsid w:val="3D5F318D"/>
    <w:rsid w:val="3D78251B"/>
    <w:rsid w:val="3D78424E"/>
    <w:rsid w:val="3D7B31B9"/>
    <w:rsid w:val="3D8869A8"/>
    <w:rsid w:val="3DBB7565"/>
    <w:rsid w:val="3DEC244C"/>
    <w:rsid w:val="3DF12AE1"/>
    <w:rsid w:val="3DFD2430"/>
    <w:rsid w:val="3E2D0960"/>
    <w:rsid w:val="3E5B4F95"/>
    <w:rsid w:val="3E5E55D0"/>
    <w:rsid w:val="3EA70EC3"/>
    <w:rsid w:val="3EA7714D"/>
    <w:rsid w:val="3EB74FA4"/>
    <w:rsid w:val="3ED00783"/>
    <w:rsid w:val="3F10567D"/>
    <w:rsid w:val="3F162B4B"/>
    <w:rsid w:val="3F1F2850"/>
    <w:rsid w:val="3F351CC9"/>
    <w:rsid w:val="3F550D6D"/>
    <w:rsid w:val="3F551E8B"/>
    <w:rsid w:val="3F6D4AB2"/>
    <w:rsid w:val="3F712EB0"/>
    <w:rsid w:val="3F8F2D64"/>
    <w:rsid w:val="3FAC772F"/>
    <w:rsid w:val="3FD1041F"/>
    <w:rsid w:val="3FFF6094"/>
    <w:rsid w:val="4003131E"/>
    <w:rsid w:val="4007741B"/>
    <w:rsid w:val="4073162B"/>
    <w:rsid w:val="40B6335A"/>
    <w:rsid w:val="40CD665F"/>
    <w:rsid w:val="410A5FE5"/>
    <w:rsid w:val="413C6EDE"/>
    <w:rsid w:val="41466BC2"/>
    <w:rsid w:val="41610B12"/>
    <w:rsid w:val="41826939"/>
    <w:rsid w:val="41A50170"/>
    <w:rsid w:val="41A902BE"/>
    <w:rsid w:val="41AF160B"/>
    <w:rsid w:val="41B21C94"/>
    <w:rsid w:val="41C60D0E"/>
    <w:rsid w:val="41CC2DBB"/>
    <w:rsid w:val="41D103D1"/>
    <w:rsid w:val="41F73D11"/>
    <w:rsid w:val="420D168A"/>
    <w:rsid w:val="420E33D3"/>
    <w:rsid w:val="42266C1D"/>
    <w:rsid w:val="422B296C"/>
    <w:rsid w:val="42484C2D"/>
    <w:rsid w:val="42784ADD"/>
    <w:rsid w:val="427B1921"/>
    <w:rsid w:val="42825BCB"/>
    <w:rsid w:val="42894479"/>
    <w:rsid w:val="42B46C05"/>
    <w:rsid w:val="42B570F5"/>
    <w:rsid w:val="42B63FD3"/>
    <w:rsid w:val="42E642DB"/>
    <w:rsid w:val="42EA5C76"/>
    <w:rsid w:val="43015636"/>
    <w:rsid w:val="430371A9"/>
    <w:rsid w:val="43047905"/>
    <w:rsid w:val="430F4DE6"/>
    <w:rsid w:val="431007DA"/>
    <w:rsid w:val="43154FCB"/>
    <w:rsid w:val="4336151A"/>
    <w:rsid w:val="43914424"/>
    <w:rsid w:val="43915B61"/>
    <w:rsid w:val="439416B6"/>
    <w:rsid w:val="43C747A4"/>
    <w:rsid w:val="440C3942"/>
    <w:rsid w:val="444808EB"/>
    <w:rsid w:val="44872505"/>
    <w:rsid w:val="44990651"/>
    <w:rsid w:val="44A07152"/>
    <w:rsid w:val="451653FF"/>
    <w:rsid w:val="45770626"/>
    <w:rsid w:val="459933EC"/>
    <w:rsid w:val="4599462F"/>
    <w:rsid w:val="45A83221"/>
    <w:rsid w:val="45D941B9"/>
    <w:rsid w:val="45DC1F0A"/>
    <w:rsid w:val="45E16C49"/>
    <w:rsid w:val="4612658A"/>
    <w:rsid w:val="46155B8E"/>
    <w:rsid w:val="461C7B7B"/>
    <w:rsid w:val="46237416"/>
    <w:rsid w:val="46491533"/>
    <w:rsid w:val="4678706D"/>
    <w:rsid w:val="468C4E2B"/>
    <w:rsid w:val="468D762A"/>
    <w:rsid w:val="470C5DCB"/>
    <w:rsid w:val="47105C65"/>
    <w:rsid w:val="47147DDF"/>
    <w:rsid w:val="47555600"/>
    <w:rsid w:val="47567D14"/>
    <w:rsid w:val="476D74B8"/>
    <w:rsid w:val="47751310"/>
    <w:rsid w:val="477C2E8C"/>
    <w:rsid w:val="47943FA1"/>
    <w:rsid w:val="47D86424"/>
    <w:rsid w:val="47D97FDF"/>
    <w:rsid w:val="47DA640E"/>
    <w:rsid w:val="47F65B46"/>
    <w:rsid w:val="481A1ABE"/>
    <w:rsid w:val="4824202D"/>
    <w:rsid w:val="48374A54"/>
    <w:rsid w:val="48475751"/>
    <w:rsid w:val="484A67E7"/>
    <w:rsid w:val="48525AAE"/>
    <w:rsid w:val="48820171"/>
    <w:rsid w:val="48827109"/>
    <w:rsid w:val="488A296E"/>
    <w:rsid w:val="48A26623"/>
    <w:rsid w:val="48A84140"/>
    <w:rsid w:val="48BC42E6"/>
    <w:rsid w:val="48D807B4"/>
    <w:rsid w:val="48EE3046"/>
    <w:rsid w:val="490B10E2"/>
    <w:rsid w:val="491645BB"/>
    <w:rsid w:val="491C63D6"/>
    <w:rsid w:val="4939136A"/>
    <w:rsid w:val="495917D4"/>
    <w:rsid w:val="495E3FFB"/>
    <w:rsid w:val="49642028"/>
    <w:rsid w:val="49777A9F"/>
    <w:rsid w:val="497C2C57"/>
    <w:rsid w:val="49831106"/>
    <w:rsid w:val="499F771B"/>
    <w:rsid w:val="49D61DF5"/>
    <w:rsid w:val="49EC224C"/>
    <w:rsid w:val="4A054E7C"/>
    <w:rsid w:val="4A16118F"/>
    <w:rsid w:val="4A453CEE"/>
    <w:rsid w:val="4A501992"/>
    <w:rsid w:val="4A8D6A8D"/>
    <w:rsid w:val="4A9C24DA"/>
    <w:rsid w:val="4A9D27AC"/>
    <w:rsid w:val="4AB52BE8"/>
    <w:rsid w:val="4AF24FBC"/>
    <w:rsid w:val="4B336D28"/>
    <w:rsid w:val="4B67770B"/>
    <w:rsid w:val="4B9746B3"/>
    <w:rsid w:val="4BBB3347"/>
    <w:rsid w:val="4BE442BB"/>
    <w:rsid w:val="4BEB29DC"/>
    <w:rsid w:val="4BED32E8"/>
    <w:rsid w:val="4C004579"/>
    <w:rsid w:val="4C060A66"/>
    <w:rsid w:val="4C343A36"/>
    <w:rsid w:val="4C371E51"/>
    <w:rsid w:val="4C5F0208"/>
    <w:rsid w:val="4C6563D3"/>
    <w:rsid w:val="4C742B44"/>
    <w:rsid w:val="4C771400"/>
    <w:rsid w:val="4C817665"/>
    <w:rsid w:val="4C871E9E"/>
    <w:rsid w:val="4C9D0EDE"/>
    <w:rsid w:val="4CA86510"/>
    <w:rsid w:val="4CBE13D1"/>
    <w:rsid w:val="4CD8104F"/>
    <w:rsid w:val="4CDD5E7C"/>
    <w:rsid w:val="4CE47F09"/>
    <w:rsid w:val="4CEF1D26"/>
    <w:rsid w:val="4CF640AF"/>
    <w:rsid w:val="4D237126"/>
    <w:rsid w:val="4D2573D1"/>
    <w:rsid w:val="4D625E90"/>
    <w:rsid w:val="4D6B16DA"/>
    <w:rsid w:val="4D701D02"/>
    <w:rsid w:val="4D7C5CCF"/>
    <w:rsid w:val="4DAE4F0E"/>
    <w:rsid w:val="4DB4421B"/>
    <w:rsid w:val="4DDE26C9"/>
    <w:rsid w:val="4DDE330B"/>
    <w:rsid w:val="4DEC4CB1"/>
    <w:rsid w:val="4DF146DD"/>
    <w:rsid w:val="4DFA19A4"/>
    <w:rsid w:val="4E093005"/>
    <w:rsid w:val="4E16288F"/>
    <w:rsid w:val="4E173672"/>
    <w:rsid w:val="4E51725E"/>
    <w:rsid w:val="4E584EC0"/>
    <w:rsid w:val="4EDD2A65"/>
    <w:rsid w:val="4EFA0F67"/>
    <w:rsid w:val="4F0C0C9A"/>
    <w:rsid w:val="4F145222"/>
    <w:rsid w:val="4F1E705C"/>
    <w:rsid w:val="4F422DFE"/>
    <w:rsid w:val="4F78060E"/>
    <w:rsid w:val="4F804B45"/>
    <w:rsid w:val="4F872BAD"/>
    <w:rsid w:val="4FA642AC"/>
    <w:rsid w:val="4FA91569"/>
    <w:rsid w:val="4FB529A6"/>
    <w:rsid w:val="4FD51FFF"/>
    <w:rsid w:val="4FDE35F9"/>
    <w:rsid w:val="4FE614EB"/>
    <w:rsid w:val="4FF84AD6"/>
    <w:rsid w:val="500D6A78"/>
    <w:rsid w:val="501C1158"/>
    <w:rsid w:val="50320027"/>
    <w:rsid w:val="503A5697"/>
    <w:rsid w:val="504058BC"/>
    <w:rsid w:val="506F6229"/>
    <w:rsid w:val="50827466"/>
    <w:rsid w:val="50893EC8"/>
    <w:rsid w:val="509067D8"/>
    <w:rsid w:val="5099042C"/>
    <w:rsid w:val="50A82C45"/>
    <w:rsid w:val="50B75F9B"/>
    <w:rsid w:val="50BE3053"/>
    <w:rsid w:val="50C27555"/>
    <w:rsid w:val="50D40202"/>
    <w:rsid w:val="50D457E8"/>
    <w:rsid w:val="51042532"/>
    <w:rsid w:val="510B66E9"/>
    <w:rsid w:val="51213DE9"/>
    <w:rsid w:val="512B6180"/>
    <w:rsid w:val="51321E88"/>
    <w:rsid w:val="5153495F"/>
    <w:rsid w:val="517843C5"/>
    <w:rsid w:val="518A3654"/>
    <w:rsid w:val="51CA3667"/>
    <w:rsid w:val="522C3700"/>
    <w:rsid w:val="52355520"/>
    <w:rsid w:val="526C4D2E"/>
    <w:rsid w:val="526F0AF7"/>
    <w:rsid w:val="527821EE"/>
    <w:rsid w:val="52A4575E"/>
    <w:rsid w:val="53062BA0"/>
    <w:rsid w:val="530974A8"/>
    <w:rsid w:val="530F31A5"/>
    <w:rsid w:val="531D2118"/>
    <w:rsid w:val="53365718"/>
    <w:rsid w:val="53566988"/>
    <w:rsid w:val="53A073DA"/>
    <w:rsid w:val="53AD5DF4"/>
    <w:rsid w:val="53B2143C"/>
    <w:rsid w:val="53C97369"/>
    <w:rsid w:val="53D667A7"/>
    <w:rsid w:val="53D67988"/>
    <w:rsid w:val="53E9751D"/>
    <w:rsid w:val="54034954"/>
    <w:rsid w:val="540A59A4"/>
    <w:rsid w:val="54120B01"/>
    <w:rsid w:val="542B5596"/>
    <w:rsid w:val="54336CC9"/>
    <w:rsid w:val="543A5C5E"/>
    <w:rsid w:val="54461E93"/>
    <w:rsid w:val="54C32182"/>
    <w:rsid w:val="54C40F6E"/>
    <w:rsid w:val="54CA42CA"/>
    <w:rsid w:val="54CC3E9E"/>
    <w:rsid w:val="54D20FCD"/>
    <w:rsid w:val="55337D15"/>
    <w:rsid w:val="55434CEA"/>
    <w:rsid w:val="555B736E"/>
    <w:rsid w:val="558701AD"/>
    <w:rsid w:val="55933427"/>
    <w:rsid w:val="5596368D"/>
    <w:rsid w:val="559A389F"/>
    <w:rsid w:val="55A26B8A"/>
    <w:rsid w:val="55C53202"/>
    <w:rsid w:val="55D50A77"/>
    <w:rsid w:val="55DB13C7"/>
    <w:rsid w:val="55E83909"/>
    <w:rsid w:val="55F200F4"/>
    <w:rsid w:val="56124180"/>
    <w:rsid w:val="56222B52"/>
    <w:rsid w:val="56270A80"/>
    <w:rsid w:val="56294ABC"/>
    <w:rsid w:val="564A7D70"/>
    <w:rsid w:val="56737851"/>
    <w:rsid w:val="567614FF"/>
    <w:rsid w:val="56B00418"/>
    <w:rsid w:val="56B13549"/>
    <w:rsid w:val="56CD51AC"/>
    <w:rsid w:val="56EC1405"/>
    <w:rsid w:val="56ED62AD"/>
    <w:rsid w:val="56FD4968"/>
    <w:rsid w:val="57037FEE"/>
    <w:rsid w:val="570D33DF"/>
    <w:rsid w:val="571E7ECD"/>
    <w:rsid w:val="573B423B"/>
    <w:rsid w:val="578F73C4"/>
    <w:rsid w:val="57A723A1"/>
    <w:rsid w:val="57DF7E2D"/>
    <w:rsid w:val="57E00F16"/>
    <w:rsid w:val="57ED184C"/>
    <w:rsid w:val="58093EE5"/>
    <w:rsid w:val="58164AB8"/>
    <w:rsid w:val="58193BF8"/>
    <w:rsid w:val="581B0B64"/>
    <w:rsid w:val="584C6D3C"/>
    <w:rsid w:val="588B41C8"/>
    <w:rsid w:val="58CA32E2"/>
    <w:rsid w:val="58D35D0B"/>
    <w:rsid w:val="58E158AF"/>
    <w:rsid w:val="58F12BD9"/>
    <w:rsid w:val="59002A9B"/>
    <w:rsid w:val="591275C0"/>
    <w:rsid w:val="592D018B"/>
    <w:rsid w:val="594C0B5F"/>
    <w:rsid w:val="597908A1"/>
    <w:rsid w:val="59A7588E"/>
    <w:rsid w:val="59AA3BD8"/>
    <w:rsid w:val="59B134D1"/>
    <w:rsid w:val="59B83A6B"/>
    <w:rsid w:val="59B91A1F"/>
    <w:rsid w:val="5A003E28"/>
    <w:rsid w:val="5A056A12"/>
    <w:rsid w:val="5A120D2F"/>
    <w:rsid w:val="5A3066C6"/>
    <w:rsid w:val="5A6A76C2"/>
    <w:rsid w:val="5A7A29FB"/>
    <w:rsid w:val="5AED3131"/>
    <w:rsid w:val="5B3E4C84"/>
    <w:rsid w:val="5B665563"/>
    <w:rsid w:val="5B8B2F47"/>
    <w:rsid w:val="5B9E780C"/>
    <w:rsid w:val="5BBF34B1"/>
    <w:rsid w:val="5BC43956"/>
    <w:rsid w:val="5C237623"/>
    <w:rsid w:val="5C4946AD"/>
    <w:rsid w:val="5C841E70"/>
    <w:rsid w:val="5C9022AC"/>
    <w:rsid w:val="5C963C09"/>
    <w:rsid w:val="5CB83860"/>
    <w:rsid w:val="5CC24544"/>
    <w:rsid w:val="5CC94C19"/>
    <w:rsid w:val="5CCB56AA"/>
    <w:rsid w:val="5CD97003"/>
    <w:rsid w:val="5CDE75D4"/>
    <w:rsid w:val="5CE662D2"/>
    <w:rsid w:val="5D43679C"/>
    <w:rsid w:val="5D80184B"/>
    <w:rsid w:val="5D894EE6"/>
    <w:rsid w:val="5D8A38F0"/>
    <w:rsid w:val="5D8D66BC"/>
    <w:rsid w:val="5D996B15"/>
    <w:rsid w:val="5DBA12C4"/>
    <w:rsid w:val="5DBC2DA9"/>
    <w:rsid w:val="5DCF0112"/>
    <w:rsid w:val="5DE60726"/>
    <w:rsid w:val="5DF5021A"/>
    <w:rsid w:val="5E1E3EA6"/>
    <w:rsid w:val="5E456EC8"/>
    <w:rsid w:val="5E8674C8"/>
    <w:rsid w:val="5EEB6E67"/>
    <w:rsid w:val="5F9A066A"/>
    <w:rsid w:val="5FB222AF"/>
    <w:rsid w:val="5FB55088"/>
    <w:rsid w:val="5FFB3D15"/>
    <w:rsid w:val="60161703"/>
    <w:rsid w:val="601A5F60"/>
    <w:rsid w:val="603A393A"/>
    <w:rsid w:val="607D5A8D"/>
    <w:rsid w:val="60896B0A"/>
    <w:rsid w:val="60A369FA"/>
    <w:rsid w:val="60A76A75"/>
    <w:rsid w:val="60AF76D8"/>
    <w:rsid w:val="60E4619C"/>
    <w:rsid w:val="61274E59"/>
    <w:rsid w:val="612C12BA"/>
    <w:rsid w:val="6142298B"/>
    <w:rsid w:val="61607FC8"/>
    <w:rsid w:val="61A50BFE"/>
    <w:rsid w:val="61C57AA4"/>
    <w:rsid w:val="61CD626B"/>
    <w:rsid w:val="61D63CF0"/>
    <w:rsid w:val="61E3588B"/>
    <w:rsid w:val="62093222"/>
    <w:rsid w:val="6216407D"/>
    <w:rsid w:val="62456687"/>
    <w:rsid w:val="626B0594"/>
    <w:rsid w:val="62920098"/>
    <w:rsid w:val="629E3B2D"/>
    <w:rsid w:val="62DB50CB"/>
    <w:rsid w:val="63683AE9"/>
    <w:rsid w:val="637F7129"/>
    <w:rsid w:val="63A92826"/>
    <w:rsid w:val="63DE2207"/>
    <w:rsid w:val="63EB6C79"/>
    <w:rsid w:val="63F13F62"/>
    <w:rsid w:val="640F3F41"/>
    <w:rsid w:val="6415793D"/>
    <w:rsid w:val="64546286"/>
    <w:rsid w:val="6473560F"/>
    <w:rsid w:val="6477675E"/>
    <w:rsid w:val="647F6D8A"/>
    <w:rsid w:val="64CD7C81"/>
    <w:rsid w:val="64D00CB5"/>
    <w:rsid w:val="64F80578"/>
    <w:rsid w:val="64FC6AC0"/>
    <w:rsid w:val="650C3431"/>
    <w:rsid w:val="652B4974"/>
    <w:rsid w:val="6547085B"/>
    <w:rsid w:val="654D6C87"/>
    <w:rsid w:val="656E7C52"/>
    <w:rsid w:val="65941036"/>
    <w:rsid w:val="659E1C40"/>
    <w:rsid w:val="65A57BD1"/>
    <w:rsid w:val="65C20A3D"/>
    <w:rsid w:val="65CB4FB4"/>
    <w:rsid w:val="66212AB1"/>
    <w:rsid w:val="66410BB6"/>
    <w:rsid w:val="6663519C"/>
    <w:rsid w:val="666920D7"/>
    <w:rsid w:val="667106B8"/>
    <w:rsid w:val="6672516A"/>
    <w:rsid w:val="66786189"/>
    <w:rsid w:val="669663C9"/>
    <w:rsid w:val="66C337E1"/>
    <w:rsid w:val="672D101A"/>
    <w:rsid w:val="67465231"/>
    <w:rsid w:val="674B6826"/>
    <w:rsid w:val="67663089"/>
    <w:rsid w:val="67DC172E"/>
    <w:rsid w:val="67E422E6"/>
    <w:rsid w:val="67F10937"/>
    <w:rsid w:val="67F40878"/>
    <w:rsid w:val="680A07A4"/>
    <w:rsid w:val="68435736"/>
    <w:rsid w:val="6850401C"/>
    <w:rsid w:val="68A223E7"/>
    <w:rsid w:val="68AE3ECB"/>
    <w:rsid w:val="68D52D4B"/>
    <w:rsid w:val="68D5773D"/>
    <w:rsid w:val="68F77208"/>
    <w:rsid w:val="68F92C59"/>
    <w:rsid w:val="68FE1FA4"/>
    <w:rsid w:val="6909492A"/>
    <w:rsid w:val="694F25A0"/>
    <w:rsid w:val="694F42FD"/>
    <w:rsid w:val="69515575"/>
    <w:rsid w:val="695806EB"/>
    <w:rsid w:val="696F60AD"/>
    <w:rsid w:val="697650B8"/>
    <w:rsid w:val="69935748"/>
    <w:rsid w:val="699E676F"/>
    <w:rsid w:val="69A47B44"/>
    <w:rsid w:val="69D9075E"/>
    <w:rsid w:val="69DA541B"/>
    <w:rsid w:val="69F50FD9"/>
    <w:rsid w:val="69F85062"/>
    <w:rsid w:val="69FA5CAA"/>
    <w:rsid w:val="6A007DB9"/>
    <w:rsid w:val="6A356EA0"/>
    <w:rsid w:val="6A892893"/>
    <w:rsid w:val="6A96645F"/>
    <w:rsid w:val="6AA51369"/>
    <w:rsid w:val="6AE26EF0"/>
    <w:rsid w:val="6B1653A3"/>
    <w:rsid w:val="6B1A4490"/>
    <w:rsid w:val="6B2D750A"/>
    <w:rsid w:val="6B4209BC"/>
    <w:rsid w:val="6B4B5552"/>
    <w:rsid w:val="6B5D15E2"/>
    <w:rsid w:val="6B70658D"/>
    <w:rsid w:val="6B7457B6"/>
    <w:rsid w:val="6B80399D"/>
    <w:rsid w:val="6B9A16B0"/>
    <w:rsid w:val="6BCC0C8A"/>
    <w:rsid w:val="6C8350C7"/>
    <w:rsid w:val="6CCA0B17"/>
    <w:rsid w:val="6CCF1FC0"/>
    <w:rsid w:val="6CD45B59"/>
    <w:rsid w:val="6D454C19"/>
    <w:rsid w:val="6D4E1C4A"/>
    <w:rsid w:val="6D864313"/>
    <w:rsid w:val="6DA91DA3"/>
    <w:rsid w:val="6DBB6C45"/>
    <w:rsid w:val="6DBD676D"/>
    <w:rsid w:val="6DD50C2C"/>
    <w:rsid w:val="6DDF0C07"/>
    <w:rsid w:val="6E19238C"/>
    <w:rsid w:val="6E3A4E45"/>
    <w:rsid w:val="6E410885"/>
    <w:rsid w:val="6E56579E"/>
    <w:rsid w:val="6E912449"/>
    <w:rsid w:val="6E9F2B3A"/>
    <w:rsid w:val="6EDC5ECB"/>
    <w:rsid w:val="6EE43495"/>
    <w:rsid w:val="6EEC54E0"/>
    <w:rsid w:val="6EFA14C2"/>
    <w:rsid w:val="6F1641C5"/>
    <w:rsid w:val="6F2E4235"/>
    <w:rsid w:val="6F5E079A"/>
    <w:rsid w:val="6F6C2D80"/>
    <w:rsid w:val="6F8B1697"/>
    <w:rsid w:val="6FA91B70"/>
    <w:rsid w:val="6FCF5424"/>
    <w:rsid w:val="6FD90CAD"/>
    <w:rsid w:val="6FD961A1"/>
    <w:rsid w:val="6FE158E0"/>
    <w:rsid w:val="70004737"/>
    <w:rsid w:val="700B0B10"/>
    <w:rsid w:val="701F0719"/>
    <w:rsid w:val="70497EB8"/>
    <w:rsid w:val="706105D8"/>
    <w:rsid w:val="70754519"/>
    <w:rsid w:val="708740C7"/>
    <w:rsid w:val="70A46F5A"/>
    <w:rsid w:val="70AE41BC"/>
    <w:rsid w:val="70BF5743"/>
    <w:rsid w:val="71042F0A"/>
    <w:rsid w:val="711A1BD8"/>
    <w:rsid w:val="711E7A71"/>
    <w:rsid w:val="714D64DA"/>
    <w:rsid w:val="71A60683"/>
    <w:rsid w:val="71B014D0"/>
    <w:rsid w:val="71D602F7"/>
    <w:rsid w:val="721F25E6"/>
    <w:rsid w:val="72225F5B"/>
    <w:rsid w:val="72325E8F"/>
    <w:rsid w:val="726310A6"/>
    <w:rsid w:val="727B601C"/>
    <w:rsid w:val="7291547F"/>
    <w:rsid w:val="73434E07"/>
    <w:rsid w:val="735301FE"/>
    <w:rsid w:val="736471BB"/>
    <w:rsid w:val="737B4421"/>
    <w:rsid w:val="73A423D9"/>
    <w:rsid w:val="73D019E7"/>
    <w:rsid w:val="73D62D92"/>
    <w:rsid w:val="73E23AB8"/>
    <w:rsid w:val="73F46854"/>
    <w:rsid w:val="742A10F7"/>
    <w:rsid w:val="742A236B"/>
    <w:rsid w:val="743F619C"/>
    <w:rsid w:val="74586D63"/>
    <w:rsid w:val="74B36942"/>
    <w:rsid w:val="74B84955"/>
    <w:rsid w:val="74C96C28"/>
    <w:rsid w:val="74CF3AD0"/>
    <w:rsid w:val="751746DF"/>
    <w:rsid w:val="75181898"/>
    <w:rsid w:val="753C3A76"/>
    <w:rsid w:val="754629D5"/>
    <w:rsid w:val="758636F3"/>
    <w:rsid w:val="758753A2"/>
    <w:rsid w:val="75910C14"/>
    <w:rsid w:val="75B4608A"/>
    <w:rsid w:val="75DF705C"/>
    <w:rsid w:val="75E41F65"/>
    <w:rsid w:val="75EF230F"/>
    <w:rsid w:val="7604566A"/>
    <w:rsid w:val="76047839"/>
    <w:rsid w:val="7619489E"/>
    <w:rsid w:val="76452218"/>
    <w:rsid w:val="76571277"/>
    <w:rsid w:val="766074C4"/>
    <w:rsid w:val="76632750"/>
    <w:rsid w:val="76972DF3"/>
    <w:rsid w:val="76D33CC8"/>
    <w:rsid w:val="77041CF7"/>
    <w:rsid w:val="77042681"/>
    <w:rsid w:val="770B62D8"/>
    <w:rsid w:val="7717431B"/>
    <w:rsid w:val="771F0CBB"/>
    <w:rsid w:val="77220B12"/>
    <w:rsid w:val="77B53307"/>
    <w:rsid w:val="77C77E03"/>
    <w:rsid w:val="77D777E8"/>
    <w:rsid w:val="77F829F2"/>
    <w:rsid w:val="782242CF"/>
    <w:rsid w:val="786110AB"/>
    <w:rsid w:val="78644C58"/>
    <w:rsid w:val="78720751"/>
    <w:rsid w:val="78C21620"/>
    <w:rsid w:val="78EF259F"/>
    <w:rsid w:val="78F50C4F"/>
    <w:rsid w:val="79307816"/>
    <w:rsid w:val="79626FC5"/>
    <w:rsid w:val="796608FE"/>
    <w:rsid w:val="79D24E18"/>
    <w:rsid w:val="79D76202"/>
    <w:rsid w:val="79DA4AB3"/>
    <w:rsid w:val="79DE69BA"/>
    <w:rsid w:val="79E16A8D"/>
    <w:rsid w:val="79E8095B"/>
    <w:rsid w:val="79F745E8"/>
    <w:rsid w:val="79FB6649"/>
    <w:rsid w:val="7A1470D4"/>
    <w:rsid w:val="7A356306"/>
    <w:rsid w:val="7A6E21DA"/>
    <w:rsid w:val="7A842443"/>
    <w:rsid w:val="7AA240DD"/>
    <w:rsid w:val="7AB21E46"/>
    <w:rsid w:val="7ABD763A"/>
    <w:rsid w:val="7AC211DE"/>
    <w:rsid w:val="7AC50594"/>
    <w:rsid w:val="7B145669"/>
    <w:rsid w:val="7B1864B3"/>
    <w:rsid w:val="7B5A49B8"/>
    <w:rsid w:val="7B707A64"/>
    <w:rsid w:val="7B915246"/>
    <w:rsid w:val="7B9730EA"/>
    <w:rsid w:val="7B9D16C3"/>
    <w:rsid w:val="7B9E47CF"/>
    <w:rsid w:val="7BA05613"/>
    <w:rsid w:val="7BBA382C"/>
    <w:rsid w:val="7BC167E5"/>
    <w:rsid w:val="7C1C1C6D"/>
    <w:rsid w:val="7C3564FE"/>
    <w:rsid w:val="7C5D32E5"/>
    <w:rsid w:val="7C784E84"/>
    <w:rsid w:val="7C83431C"/>
    <w:rsid w:val="7C892AB5"/>
    <w:rsid w:val="7CC876B0"/>
    <w:rsid w:val="7CFA7FFD"/>
    <w:rsid w:val="7D1D37DF"/>
    <w:rsid w:val="7D763AFD"/>
    <w:rsid w:val="7D7D4FE3"/>
    <w:rsid w:val="7D8652D5"/>
    <w:rsid w:val="7DB45ABC"/>
    <w:rsid w:val="7DE95B7F"/>
    <w:rsid w:val="7E191C60"/>
    <w:rsid w:val="7E337833"/>
    <w:rsid w:val="7E452FD4"/>
    <w:rsid w:val="7E461491"/>
    <w:rsid w:val="7E6D4A02"/>
    <w:rsid w:val="7E7F0292"/>
    <w:rsid w:val="7E9574E9"/>
    <w:rsid w:val="7EA4273E"/>
    <w:rsid w:val="7EC51543"/>
    <w:rsid w:val="7EDA2BC3"/>
    <w:rsid w:val="7EE30820"/>
    <w:rsid w:val="7EE67F02"/>
    <w:rsid w:val="7EF41F4D"/>
    <w:rsid w:val="7F0B1D13"/>
    <w:rsid w:val="7F0D3455"/>
    <w:rsid w:val="7F0D5D27"/>
    <w:rsid w:val="7F3C0116"/>
    <w:rsid w:val="7F427C3D"/>
    <w:rsid w:val="7F65392B"/>
    <w:rsid w:val="7F716D39"/>
    <w:rsid w:val="7F7D2A23"/>
    <w:rsid w:val="7F8746A2"/>
    <w:rsid w:val="7F9E0BEB"/>
    <w:rsid w:val="7FA607CA"/>
    <w:rsid w:val="7FA95C82"/>
    <w:rsid w:val="7FAA7812"/>
    <w:rsid w:val="7FBB1212"/>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paragraph" w:styleId="6">
    <w:name w:val="heading 2"/>
    <w:basedOn w:val="1"/>
    <w:next w:val="1"/>
    <w:qFormat/>
    <w:uiPriority w:val="0"/>
    <w:pPr>
      <w:keepNext/>
      <w:keepLines/>
      <w:snapToGrid w:val="0"/>
      <w:spacing w:line="360" w:lineRule="auto"/>
      <w:outlineLvl w:val="1"/>
    </w:pPr>
    <w:rPr>
      <w:rFonts w:ascii="宋体" w:hAnsi="宋体"/>
      <w:b/>
      <w:bCs/>
      <w:sz w:val="24"/>
    </w:rPr>
  </w:style>
  <w:style w:type="paragraph" w:styleId="7">
    <w:name w:val="heading 3"/>
    <w:basedOn w:val="1"/>
    <w:next w:val="1"/>
    <w:qFormat/>
    <w:uiPriority w:val="9"/>
    <w:pPr>
      <w:keepNext/>
      <w:keepLines/>
      <w:snapToGrid w:val="0"/>
      <w:spacing w:before="260" w:after="260" w:line="416" w:lineRule="auto"/>
      <w:outlineLvl w:val="2"/>
    </w:pPr>
    <w:rPr>
      <w:b/>
      <w:bCs/>
      <w:sz w:val="32"/>
      <w:szCs w:val="32"/>
    </w:rPr>
  </w:style>
  <w:style w:type="paragraph" w:styleId="8">
    <w:name w:val="heading 4"/>
    <w:basedOn w:val="1"/>
    <w:next w:val="1"/>
    <w:qFormat/>
    <w:uiPriority w:val="1"/>
    <w:pPr>
      <w:ind w:left="522" w:right="21"/>
      <w:outlineLvl w:val="3"/>
    </w:pPr>
    <w:rPr>
      <w:rFonts w:ascii="Times New Roman" w:hAnsi="Times New Roman" w:eastAsia="Times New Roman"/>
      <w:b/>
      <w:bCs/>
      <w:szCs w:val="21"/>
    </w:rPr>
  </w:style>
  <w:style w:type="paragraph" w:styleId="9">
    <w:name w:val="heading 5"/>
    <w:basedOn w:val="1"/>
    <w:next w:val="1"/>
    <w:unhideWhenUsed/>
    <w:qFormat/>
    <w:uiPriority w:val="0"/>
    <w:pPr>
      <w:keepNext/>
      <w:keepLines/>
      <w:spacing w:before="280" w:after="290" w:line="372" w:lineRule="auto"/>
      <w:outlineLvl w:val="4"/>
    </w:pPr>
    <w:rPr>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tabs>
        <w:tab w:val="left" w:pos="1155"/>
      </w:tabs>
      <w:ind w:left="0" w:leftChars="0"/>
    </w:pPr>
    <w:rPr>
      <w:rFonts w:ascii="Times New Roman" w:hAnsi="Times New Roman"/>
      <w:sz w:val="28"/>
    </w:rPr>
  </w:style>
  <w:style w:type="paragraph" w:styleId="3">
    <w:name w:val="Body Text Indent"/>
    <w:basedOn w:val="1"/>
    <w:next w:val="4"/>
    <w:qFormat/>
    <w:uiPriority w:val="0"/>
    <w:pPr>
      <w:spacing w:after="120"/>
      <w:ind w:left="420" w:leftChars="200"/>
    </w:pPr>
  </w:style>
  <w:style w:type="paragraph" w:customStyle="1" w:styleId="4">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styleId="10">
    <w:name w:val="Normal Indent"/>
    <w:basedOn w:val="1"/>
    <w:qFormat/>
    <w:uiPriority w:val="99"/>
    <w:pPr>
      <w:adjustRightInd w:val="0"/>
      <w:snapToGrid w:val="0"/>
      <w:spacing w:line="360" w:lineRule="atLeast"/>
      <w:ind w:firstLine="482"/>
      <w:textAlignment w:val="baseline"/>
    </w:pPr>
    <w:rPr>
      <w:rFonts w:eastAsia="华文仿宋"/>
      <w:kern w:val="0"/>
      <w:sz w:val="24"/>
    </w:rPr>
  </w:style>
  <w:style w:type="paragraph" w:styleId="11">
    <w:name w:val="annotation text"/>
    <w:basedOn w:val="1"/>
    <w:qFormat/>
    <w:uiPriority w:val="0"/>
    <w:pPr>
      <w:jc w:val="left"/>
    </w:pPr>
  </w:style>
  <w:style w:type="paragraph" w:styleId="12">
    <w:name w:val="Body Text"/>
    <w:basedOn w:val="1"/>
    <w:next w:val="1"/>
    <w:qFormat/>
    <w:uiPriority w:val="0"/>
    <w:rPr>
      <w:rFonts w:ascii="宋体" w:hAnsi="Times New Roman"/>
      <w:sz w:val="24"/>
      <w:szCs w:val="20"/>
    </w:rPr>
  </w:style>
  <w:style w:type="paragraph" w:styleId="13">
    <w:name w:val="Plain Text"/>
    <w:basedOn w:val="1"/>
    <w:qFormat/>
    <w:uiPriority w:val="0"/>
    <w:rPr>
      <w:rFonts w:ascii="宋体" w:hAnsi="Courier New"/>
      <w:szCs w:val="21"/>
    </w:rPr>
  </w:style>
  <w:style w:type="paragraph" w:styleId="14">
    <w:name w:val="Date"/>
    <w:basedOn w:val="1"/>
    <w:next w:val="1"/>
    <w:qFormat/>
    <w:uiPriority w:val="0"/>
    <w:rPr>
      <w:sz w:val="24"/>
      <w:szCs w:val="20"/>
    </w:rPr>
  </w:style>
  <w:style w:type="paragraph" w:styleId="15">
    <w:name w:val="Body Text Indent 2"/>
    <w:basedOn w:val="1"/>
    <w:qFormat/>
    <w:uiPriority w:val="0"/>
    <w:pPr>
      <w:tabs>
        <w:tab w:val="left" w:pos="0"/>
      </w:tabs>
      <w:adjustRightInd w:val="0"/>
      <w:spacing w:line="360" w:lineRule="auto"/>
      <w:ind w:firstLine="525"/>
    </w:pPr>
    <w:rPr>
      <w:rFonts w:hint="eastAsia" w:ascii="宋体"/>
      <w:kern w:val="0"/>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pPr>
      <w:spacing w:line="480" w:lineRule="exact"/>
    </w:pPr>
    <w:rPr>
      <w:rFonts w:ascii="Times New Roman" w:hAnsi="Times New Roman" w:eastAsia="黑体"/>
      <w:sz w:val="28"/>
    </w:rPr>
  </w:style>
  <w:style w:type="paragraph" w:styleId="20">
    <w:name w:val="toc 2"/>
    <w:basedOn w:val="1"/>
    <w:next w:val="1"/>
    <w:qFormat/>
    <w:uiPriority w:val="0"/>
    <w:pPr>
      <w:ind w:left="420" w:leftChars="200"/>
    </w:pPr>
  </w:style>
  <w:style w:type="paragraph" w:styleId="21">
    <w:name w:val="Normal (Web)"/>
    <w:basedOn w:val="1"/>
    <w:unhideWhenUsed/>
    <w:qFormat/>
    <w:uiPriority w:val="99"/>
    <w:pPr>
      <w:spacing w:beforeAutospacing="1" w:afterAutospacing="1"/>
      <w:jc w:val="left"/>
    </w:pPr>
    <w:rPr>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qFormat/>
    <w:uiPriority w:val="0"/>
    <w:rPr>
      <w:color w:val="0000FF"/>
      <w:u w:val="single"/>
    </w:rPr>
  </w:style>
  <w:style w:type="paragraph" w:customStyle="1" w:styleId="27">
    <w:name w:val="列出段落1"/>
    <w:basedOn w:val="1"/>
    <w:qFormat/>
    <w:uiPriority w:val="34"/>
    <w:pPr>
      <w:ind w:firstLine="420" w:firstLineChars="200"/>
    </w:pPr>
  </w:style>
  <w:style w:type="paragraph" w:styleId="28">
    <w:name w:val="List Paragraph"/>
    <w:basedOn w:val="1"/>
    <w:qFormat/>
    <w:uiPriority w:val="34"/>
    <w:pPr>
      <w:ind w:firstLine="420" w:firstLineChars="200"/>
    </w:pPr>
  </w:style>
  <w:style w:type="paragraph" w:customStyle="1" w:styleId="29">
    <w:name w:val="样式 宋体 小四 行距: 固定值 25 磅 首行缩进:  2 字符"/>
    <w:basedOn w:val="1"/>
    <w:qFormat/>
    <w:uiPriority w:val="0"/>
    <w:pPr>
      <w:ind w:firstLine="480"/>
    </w:pPr>
    <w:rPr>
      <w:rFonts w:ascii="宋体" w:hAnsi="宋体" w:cs="宋体"/>
      <w:szCs w:val="20"/>
    </w:rPr>
  </w:style>
  <w:style w:type="character" w:customStyle="1" w:styleId="30">
    <w:name w:val="font61"/>
    <w:basedOn w:val="24"/>
    <w:qFormat/>
    <w:uiPriority w:val="0"/>
    <w:rPr>
      <w:rFonts w:hint="eastAsia" w:ascii="宋体" w:hAnsi="宋体" w:eastAsia="宋体" w:cs="宋体"/>
      <w:color w:val="000000"/>
      <w:sz w:val="22"/>
      <w:szCs w:val="22"/>
      <w:u w:val="none"/>
    </w:rPr>
  </w:style>
  <w:style w:type="character" w:customStyle="1" w:styleId="31">
    <w:name w:val="font21"/>
    <w:basedOn w:val="24"/>
    <w:qFormat/>
    <w:uiPriority w:val="0"/>
    <w:rPr>
      <w:rFonts w:hint="default" w:ascii="Calibri" w:hAnsi="Calibri" w:cs="Calibri"/>
      <w:color w:val="000000"/>
      <w:sz w:val="22"/>
      <w:szCs w:val="22"/>
      <w:u w:val="none"/>
    </w:rPr>
  </w:style>
  <w:style w:type="paragraph" w:customStyle="1" w:styleId="32">
    <w:name w:val="Table Paragraph"/>
    <w:basedOn w:val="1"/>
    <w:qFormat/>
    <w:uiPriority w:val="1"/>
  </w:style>
  <w:style w:type="character" w:customStyle="1" w:styleId="33">
    <w:name w:val="font01"/>
    <w:basedOn w:val="24"/>
    <w:qFormat/>
    <w:uiPriority w:val="0"/>
    <w:rPr>
      <w:rFonts w:hint="eastAsia" w:ascii="宋体" w:hAnsi="宋体" w:eastAsia="宋体" w:cs="宋体"/>
      <w:color w:val="000000"/>
      <w:sz w:val="20"/>
      <w:szCs w:val="20"/>
      <w:u w:val="none"/>
    </w:rPr>
  </w:style>
  <w:style w:type="character" w:customStyle="1" w:styleId="34">
    <w:name w:val="font71"/>
    <w:basedOn w:val="24"/>
    <w:qFormat/>
    <w:uiPriority w:val="0"/>
    <w:rPr>
      <w:rFonts w:hint="eastAsia" w:ascii="宋体" w:hAnsi="宋体" w:eastAsia="宋体" w:cs="宋体"/>
      <w:b/>
      <w:bCs/>
      <w:color w:val="000000"/>
      <w:sz w:val="20"/>
      <w:szCs w:val="20"/>
      <w:u w:val="none"/>
    </w:rPr>
  </w:style>
  <w:style w:type="character" w:customStyle="1" w:styleId="35">
    <w:name w:val="font41"/>
    <w:basedOn w:val="24"/>
    <w:qFormat/>
    <w:uiPriority w:val="0"/>
    <w:rPr>
      <w:rFonts w:hint="default" w:ascii="??" w:hAnsi="??" w:eastAsia="??" w:cs="??"/>
      <w:b/>
      <w:bCs/>
      <w:color w:val="000000"/>
      <w:sz w:val="18"/>
      <w:szCs w:val="18"/>
      <w:u w:val="none"/>
    </w:rPr>
  </w:style>
  <w:style w:type="character" w:customStyle="1" w:styleId="36">
    <w:name w:val="font91"/>
    <w:basedOn w:val="24"/>
    <w:qFormat/>
    <w:uiPriority w:val="0"/>
    <w:rPr>
      <w:rFonts w:hint="default" w:ascii="??" w:hAnsi="??" w:eastAsia="??" w:cs="??"/>
      <w:b/>
      <w:bCs/>
      <w:color w:val="FF0000"/>
      <w:sz w:val="18"/>
      <w:szCs w:val="18"/>
      <w:u w:val="none"/>
    </w:rPr>
  </w:style>
  <w:style w:type="character" w:customStyle="1" w:styleId="37">
    <w:name w:val="font101"/>
    <w:basedOn w:val="24"/>
    <w:qFormat/>
    <w:uiPriority w:val="0"/>
    <w:rPr>
      <w:rFonts w:hint="default" w:ascii="??" w:hAnsi="??" w:eastAsia="??" w:cs="??"/>
      <w:b/>
      <w:bCs/>
      <w:color w:val="000000"/>
      <w:sz w:val="24"/>
      <w:szCs w:val="24"/>
      <w:u w:val="single"/>
    </w:rPr>
  </w:style>
  <w:style w:type="character" w:customStyle="1" w:styleId="38">
    <w:name w:val="font81"/>
    <w:basedOn w:val="24"/>
    <w:qFormat/>
    <w:uiPriority w:val="0"/>
    <w:rPr>
      <w:rFonts w:hint="default" w:ascii="??" w:hAnsi="??" w:eastAsia="??" w:cs="??"/>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1960</Words>
  <Characters>11176</Characters>
  <Lines>93</Lines>
  <Paragraphs>26</Paragraphs>
  <TotalTime>4</TotalTime>
  <ScaleCrop>false</ScaleCrop>
  <LinksUpToDate>false</LinksUpToDate>
  <CharactersWithSpaces>13110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2023-08-21T02:11:00Z</dcterms:created>
  <dc:creator>A.珊</dc:creator>
  <cp:lastModifiedBy>hy</cp:lastModifiedBy>
  <cp:lastPrinted>2026-03-20T07:00:00Z</cp:lastPrinted>
  <dcterms:modified xsi:type="dcterms:W3CDTF">2026-03-30T06:20:19Z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53625ACEB022480AA1DFC3A60931BD1C_13</vt:lpwstr>
  </property>
  <property fmtid="{D5CDD505-2E9C-101B-9397-08002B2CF9AE}" pid="4" name="KSOTemplateDocerSaveRecord">
    <vt:lpwstr>eyJoZGlkIjoiYzNhYjE5MzFlOTA2ZTMzMjNmOWU0YTAyYmJjNDFmMzQifQ==</vt:lpwstr>
  </property>
</Properties>
</file>