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F7B4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jc w:val="left"/>
        <w:textAlignment w:val="auto"/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8"/>
          <w:szCs w:val="28"/>
          <w:lang w:val="en-US" w:eastAsia="zh-CN"/>
        </w:rPr>
      </w:pP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8"/>
          <w:szCs w:val="28"/>
          <w:lang w:val="en-US" w:eastAsia="zh-CN"/>
        </w:rPr>
        <w:t>附件3：</w:t>
      </w:r>
    </w:p>
    <w:p w14:paraId="64DF150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 w:firstLineChars="0"/>
        <w:jc w:val="center"/>
        <w:textAlignment w:val="auto"/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8"/>
          <w:szCs w:val="28"/>
          <w:lang w:val="en-US" w:eastAsia="zh-CN"/>
        </w:rPr>
      </w:pP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2B2B2B"/>
          <w:spacing w:val="0"/>
          <w:sz w:val="28"/>
          <w:szCs w:val="28"/>
          <w:lang w:val="en-US" w:eastAsia="zh-CN"/>
        </w:rPr>
        <w:t>评分标准</w:t>
      </w:r>
    </w:p>
    <w:tbl>
      <w:tblPr>
        <w:tblStyle w:val="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2140"/>
        <w:gridCol w:w="5838"/>
      </w:tblGrid>
      <w:tr w14:paraId="42579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  <w:vAlign w:val="center"/>
          </w:tcPr>
          <w:p w14:paraId="57FFD25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条款内容</w:t>
            </w:r>
          </w:p>
        </w:tc>
        <w:tc>
          <w:tcPr>
            <w:tcW w:w="7978" w:type="dxa"/>
            <w:gridSpan w:val="2"/>
            <w:vAlign w:val="center"/>
          </w:tcPr>
          <w:p w14:paraId="7895FB2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编列内容</w:t>
            </w:r>
          </w:p>
        </w:tc>
      </w:tr>
      <w:tr w14:paraId="76600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  <w:vAlign w:val="center"/>
          </w:tcPr>
          <w:p w14:paraId="1F7C0AE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分值构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(总分100分)</w:t>
            </w:r>
          </w:p>
        </w:tc>
        <w:tc>
          <w:tcPr>
            <w:tcW w:w="7978" w:type="dxa"/>
            <w:gridSpan w:val="2"/>
            <w:vAlign w:val="center"/>
          </w:tcPr>
          <w:p w14:paraId="32A6DD3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工作方案总体评价：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u w:val="singl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  <w:p w14:paraId="5AF1563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企业业绩及人员：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u w:val="singl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  <w:p w14:paraId="7E96A69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报价得分：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u w:val="singl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</w:tc>
      </w:tr>
      <w:tr w14:paraId="5CDA8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  <w:vAlign w:val="center"/>
          </w:tcPr>
          <w:p w14:paraId="210FD34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基准价计算方法</w:t>
            </w:r>
          </w:p>
        </w:tc>
        <w:tc>
          <w:tcPr>
            <w:tcW w:w="7978" w:type="dxa"/>
            <w:gridSpan w:val="2"/>
            <w:vAlign w:val="center"/>
          </w:tcPr>
          <w:p w14:paraId="68BA632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取所有有效报价的平均值做为评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基准价费率。（有效报价为通过形式和响应性评审及资格审查的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比选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文件的报价）</w:t>
            </w:r>
          </w:p>
        </w:tc>
      </w:tr>
      <w:tr w14:paraId="05A5C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  <w:vAlign w:val="center"/>
          </w:tcPr>
          <w:p w14:paraId="5A7F1B7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评分因素</w:t>
            </w:r>
          </w:p>
        </w:tc>
        <w:tc>
          <w:tcPr>
            <w:tcW w:w="7978" w:type="dxa"/>
            <w:gridSpan w:val="2"/>
            <w:vAlign w:val="center"/>
          </w:tcPr>
          <w:p w14:paraId="5E6146B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评分标准</w:t>
            </w:r>
          </w:p>
        </w:tc>
      </w:tr>
      <w:tr w14:paraId="16C18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429" w:type="dxa"/>
            <w:vMerge w:val="restart"/>
            <w:vAlign w:val="center"/>
          </w:tcPr>
          <w:p w14:paraId="0A3C637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shd w:val="clear" w:fill="FFFFFF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shd w:val="clear" w:fill="FFFFFF"/>
              </w:rPr>
              <w:t>方案总体评价（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shd w:val="clear" w:fill="FFFFFF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shd w:val="clear" w:fill="FFFFFF"/>
              </w:rPr>
              <w:t>0分）</w:t>
            </w:r>
          </w:p>
        </w:tc>
        <w:tc>
          <w:tcPr>
            <w:tcW w:w="2140" w:type="dxa"/>
            <w:vAlign w:val="center"/>
          </w:tcPr>
          <w:p w14:paraId="3F0E334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总体概述及方案</w:t>
            </w:r>
          </w:p>
          <w:p w14:paraId="4741120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分）</w:t>
            </w:r>
          </w:p>
        </w:tc>
        <w:tc>
          <w:tcPr>
            <w:tcW w:w="5838" w:type="dxa"/>
            <w:vAlign w:val="center"/>
          </w:tcPr>
          <w:p w14:paraId="4F7C033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方案优秀、科学合理：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  <w:p w14:paraId="47A0E6B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方案一般可行：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  <w:p w14:paraId="3B3E063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方案较差：0-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</w:tc>
      </w:tr>
      <w:tr w14:paraId="7F4DE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  <w:vMerge w:val="continue"/>
            <w:vAlign w:val="center"/>
          </w:tcPr>
          <w:p w14:paraId="06C7AF1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7610D33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方案的实施细则（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分）</w:t>
            </w:r>
          </w:p>
        </w:tc>
        <w:tc>
          <w:tcPr>
            <w:tcW w:w="5838" w:type="dxa"/>
            <w:vAlign w:val="center"/>
          </w:tcPr>
          <w:p w14:paraId="3015861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较好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  <w:p w14:paraId="7521E41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好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  <w:p w14:paraId="62DF08C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一般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0-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</w:tc>
      </w:tr>
      <w:tr w14:paraId="066FA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  <w:vMerge w:val="continue"/>
            <w:vAlign w:val="center"/>
          </w:tcPr>
          <w:p w14:paraId="125FDA2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46BC224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质量的控制措施（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分）</w:t>
            </w:r>
          </w:p>
        </w:tc>
        <w:tc>
          <w:tcPr>
            <w:tcW w:w="5838" w:type="dxa"/>
            <w:vAlign w:val="center"/>
          </w:tcPr>
          <w:p w14:paraId="28D7745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措施完善、合理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  <w:p w14:paraId="75FE3FA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能满足要求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  <w:p w14:paraId="78BF08F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不符合或缺项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0-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</w:tc>
      </w:tr>
      <w:tr w14:paraId="51F1C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  <w:vMerge w:val="continue"/>
            <w:vAlign w:val="center"/>
          </w:tcPr>
          <w:p w14:paraId="1C97366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7346B29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进度控制措施</w:t>
            </w:r>
          </w:p>
          <w:p w14:paraId="2DC354B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分）</w:t>
            </w:r>
          </w:p>
        </w:tc>
        <w:tc>
          <w:tcPr>
            <w:tcW w:w="5838" w:type="dxa"/>
            <w:vAlign w:val="center"/>
          </w:tcPr>
          <w:p w14:paraId="79DA01E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措施完善、合理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  <w:p w14:paraId="5D28B39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能满足要求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  <w:p w14:paraId="31135A6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不符合或缺项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0-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</w:tc>
      </w:tr>
      <w:tr w14:paraId="7BA60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  <w:vMerge w:val="continue"/>
            <w:vAlign w:val="center"/>
          </w:tcPr>
          <w:p w14:paraId="3619A44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52A05C5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流程、制度</w:t>
            </w:r>
          </w:p>
          <w:p w14:paraId="4F6A449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分）</w:t>
            </w:r>
          </w:p>
        </w:tc>
        <w:tc>
          <w:tcPr>
            <w:tcW w:w="5838" w:type="dxa"/>
            <w:vAlign w:val="center"/>
          </w:tcPr>
          <w:p w14:paraId="4DF877F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合理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  <w:p w14:paraId="52FF07B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一般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  <w:p w14:paraId="26B1F79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不符合或缺项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0-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</w:tc>
      </w:tr>
      <w:tr w14:paraId="5F398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  <w:vMerge w:val="continue"/>
            <w:vAlign w:val="center"/>
          </w:tcPr>
          <w:p w14:paraId="31FC972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1BF40AE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服务承诺</w:t>
            </w:r>
          </w:p>
          <w:p w14:paraId="49D853E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分）</w:t>
            </w:r>
          </w:p>
        </w:tc>
        <w:tc>
          <w:tcPr>
            <w:tcW w:w="5838" w:type="dxa"/>
            <w:vAlign w:val="center"/>
          </w:tcPr>
          <w:p w14:paraId="471B519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承诺完善、能够为本项目提供完善服务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  <w:p w14:paraId="1AFFEAD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服务承诺一般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  <w:p w14:paraId="167214A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服务承诺不完善或缺项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0-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</w:t>
            </w:r>
          </w:p>
        </w:tc>
      </w:tr>
      <w:tr w14:paraId="266FF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  <w:vMerge w:val="restart"/>
            <w:vAlign w:val="center"/>
          </w:tcPr>
          <w:p w14:paraId="15C2906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shd w:val="clear" w:fill="FFFFFF"/>
              </w:rPr>
              <w:t>企业业绩及人员（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shd w:val="clear" w:fill="FFFFFF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shd w:val="clear" w:fill="FFFFFF"/>
              </w:rPr>
              <w:t>分）</w:t>
            </w:r>
          </w:p>
        </w:tc>
        <w:tc>
          <w:tcPr>
            <w:tcW w:w="2140" w:type="dxa"/>
            <w:vAlign w:val="center"/>
          </w:tcPr>
          <w:p w14:paraId="4BAA6B0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项目负责人情况</w:t>
            </w:r>
          </w:p>
          <w:p w14:paraId="5896842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分）</w:t>
            </w:r>
          </w:p>
        </w:tc>
        <w:tc>
          <w:tcPr>
            <w:tcW w:w="5838" w:type="dxa"/>
            <w:vAlign w:val="center"/>
          </w:tcPr>
          <w:p w14:paraId="1D56593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</w:rPr>
              <w:t>拟投入本项目的项目负责人，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lang w:val="en-US" w:eastAsia="zh-CN"/>
              </w:rPr>
              <w:t>具有国家注册一级造价工程师职业资格，同时具有高级职称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</w:rPr>
              <w:t>得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</w:rPr>
              <w:t>分；具有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lang w:val="en-US" w:eastAsia="zh-CN"/>
              </w:rPr>
              <w:t>国家注册一级造价工程师职业资格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</w:rPr>
              <w:t>得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</w:rPr>
              <w:t>分，其他不得分。</w:t>
            </w:r>
          </w:p>
        </w:tc>
      </w:tr>
      <w:tr w14:paraId="2381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  <w:vMerge w:val="continue"/>
            <w:vAlign w:val="center"/>
          </w:tcPr>
          <w:p w14:paraId="1B6C04D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5CBCC45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拟投入本项目专业人员注册证书及职称情况（不含项目负责人）（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0分）</w:t>
            </w:r>
          </w:p>
        </w:tc>
        <w:tc>
          <w:tcPr>
            <w:tcW w:w="5838" w:type="dxa"/>
            <w:vAlign w:val="center"/>
          </w:tcPr>
          <w:p w14:paraId="394F99E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拟投入本项目的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lang w:val="en-US" w:eastAsia="zh-CN"/>
              </w:rPr>
              <w:t>一级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造价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工程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师需满足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名，满足得基础分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分，不满足不得分。投入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名以上（不含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名）每增加一个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lang w:val="en-US" w:eastAsia="zh-CN"/>
              </w:rPr>
              <w:t>一级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造价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工程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师加2分，加满为止。</w:t>
            </w:r>
          </w:p>
        </w:tc>
      </w:tr>
      <w:tr w14:paraId="729DF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  <w:vMerge w:val="continue"/>
            <w:vAlign w:val="center"/>
          </w:tcPr>
          <w:p w14:paraId="3C54C22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</w:p>
        </w:tc>
        <w:tc>
          <w:tcPr>
            <w:tcW w:w="2140" w:type="dxa"/>
            <w:vAlign w:val="center"/>
          </w:tcPr>
          <w:p w14:paraId="6418A24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近三年类似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项目</w:t>
            </w:r>
          </w:p>
          <w:p w14:paraId="287A99F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的业绩（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0分）</w:t>
            </w:r>
          </w:p>
        </w:tc>
        <w:tc>
          <w:tcPr>
            <w:tcW w:w="5838" w:type="dxa"/>
            <w:vAlign w:val="center"/>
          </w:tcPr>
          <w:p w14:paraId="67A818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3亿及以上结算审核业绩：每项3分，满分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分；</w:t>
            </w:r>
          </w:p>
          <w:p w14:paraId="002347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1亿及以上结算审核业绩：每项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分，满分4分；</w:t>
            </w:r>
          </w:p>
          <w:p w14:paraId="70D04C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5000万及以上结算审核业绩：每项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分，满分2分；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供热项目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工程造价咨询业绩：每项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分，满分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772CDF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yellow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2"/>
                <w:szCs w:val="22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2"/>
                <w:szCs w:val="22"/>
                <w:highlight w:val="none"/>
                <w:lang w:eastAsia="zh-CN"/>
              </w:rPr>
              <w:t>以申请文件中提供合同复印件为准，复印件需加盖单位公章。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2"/>
                <w:szCs w:val="22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2"/>
                <w:szCs w:val="22"/>
                <w:highlight w:val="none"/>
                <w:lang w:eastAsia="zh-CN"/>
              </w:rPr>
              <w:t>同一项目按最高分值计一次分，不重复计分。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2"/>
                <w:szCs w:val="22"/>
                <w:highlight w:val="none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sz w:val="22"/>
                <w:szCs w:val="22"/>
              </w:rPr>
              <w:t>申请人可将满足高档次规模的结算审核业绩，分别计入对应低档次规模</w:t>
            </w:r>
            <w:r>
              <w:rPr>
                <w:rFonts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计分，</w:t>
            </w:r>
            <w:r>
              <w:rPr>
                <w:rStyle w:val="10"/>
                <w:rFonts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同一业绩仅参与一个档次计分</w:t>
            </w:r>
            <w:r>
              <w:rPr>
                <w:rFonts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，各档次分别计至满分后不再累</w:t>
            </w:r>
            <w:r>
              <w:rPr>
                <w:rFonts w:ascii="宋体" w:hAnsi="宋体" w:eastAsia="宋体" w:cs="宋体"/>
                <w:sz w:val="22"/>
                <w:szCs w:val="22"/>
              </w:rPr>
              <w:t>加。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w w:val="100"/>
                <w:sz w:val="22"/>
                <w:szCs w:val="22"/>
                <w:highlight w:val="none"/>
                <w:lang w:eastAsia="zh-CN"/>
              </w:rPr>
              <w:t>）</w:t>
            </w:r>
          </w:p>
        </w:tc>
      </w:tr>
      <w:tr w14:paraId="34CC2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dxa"/>
            <w:vAlign w:val="center"/>
          </w:tcPr>
          <w:p w14:paraId="3FB11A6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2B2B2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报价</w:t>
            </w:r>
          </w:p>
          <w:p w14:paraId="03EB1B6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分）</w:t>
            </w:r>
          </w:p>
        </w:tc>
        <w:tc>
          <w:tcPr>
            <w:tcW w:w="2140" w:type="dxa"/>
            <w:vAlign w:val="center"/>
          </w:tcPr>
          <w:p w14:paraId="5690E7F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费率报价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分）</w:t>
            </w:r>
          </w:p>
        </w:tc>
        <w:tc>
          <w:tcPr>
            <w:tcW w:w="5838" w:type="dxa"/>
            <w:vAlign w:val="center"/>
          </w:tcPr>
          <w:p w14:paraId="1F51031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B2B2B"/>
                <w:spacing w:val="0"/>
                <w:sz w:val="24"/>
                <w:szCs w:val="24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eastAsia="zh-CN"/>
              </w:rPr>
              <w:t>所有有效报价平均值为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评标基准价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报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价费率与评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基准价费率一致得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分，每比评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基准价费率高一个百分点减1分，每低一个百分点减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分，减完为止。</w:t>
            </w:r>
          </w:p>
        </w:tc>
      </w:tr>
    </w:tbl>
    <w:p w14:paraId="6058292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480" w:firstLineChars="200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B2B2B"/>
          <w:spacing w:val="0"/>
          <w:sz w:val="24"/>
          <w:szCs w:val="24"/>
          <w:highlight w:val="none"/>
          <w:lang w:val="en-US" w:eastAsia="zh-CN"/>
        </w:rPr>
        <w:t>综合评分法得分最高者中选，如综合评分相同时，报价费率低者中选。</w:t>
      </w:r>
    </w:p>
    <w:sectPr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yMTZlZWU1ZDA0YzBlNDk5YTZiMmJjY2UzZWQ1YTgifQ=="/>
  </w:docVars>
  <w:rsids>
    <w:rsidRoot w:val="00000000"/>
    <w:rsid w:val="00F85D56"/>
    <w:rsid w:val="012B3476"/>
    <w:rsid w:val="0281653D"/>
    <w:rsid w:val="085140BA"/>
    <w:rsid w:val="0A5E1814"/>
    <w:rsid w:val="110A5D12"/>
    <w:rsid w:val="14A53BA2"/>
    <w:rsid w:val="16F43EC2"/>
    <w:rsid w:val="17E56EED"/>
    <w:rsid w:val="18FA199B"/>
    <w:rsid w:val="1C8E057A"/>
    <w:rsid w:val="1EE05B4F"/>
    <w:rsid w:val="1F2C5185"/>
    <w:rsid w:val="230D6F81"/>
    <w:rsid w:val="23F5050A"/>
    <w:rsid w:val="27721DCC"/>
    <w:rsid w:val="27B30E28"/>
    <w:rsid w:val="29871AEB"/>
    <w:rsid w:val="2BDE3D91"/>
    <w:rsid w:val="2EBC18D7"/>
    <w:rsid w:val="2F2D046C"/>
    <w:rsid w:val="2FC242FE"/>
    <w:rsid w:val="34D76ADF"/>
    <w:rsid w:val="3720559E"/>
    <w:rsid w:val="37D01583"/>
    <w:rsid w:val="38B00A63"/>
    <w:rsid w:val="401F619D"/>
    <w:rsid w:val="41FF687F"/>
    <w:rsid w:val="480D20D8"/>
    <w:rsid w:val="489E48D3"/>
    <w:rsid w:val="48AC47F0"/>
    <w:rsid w:val="4A4F0367"/>
    <w:rsid w:val="4E351DED"/>
    <w:rsid w:val="53AF7BFD"/>
    <w:rsid w:val="547E7D71"/>
    <w:rsid w:val="56112F2F"/>
    <w:rsid w:val="5F292E8D"/>
    <w:rsid w:val="665C5C0C"/>
    <w:rsid w:val="674638D0"/>
    <w:rsid w:val="67887C43"/>
    <w:rsid w:val="67DC060F"/>
    <w:rsid w:val="68A92CDA"/>
    <w:rsid w:val="6E613B30"/>
    <w:rsid w:val="771B3EF6"/>
    <w:rsid w:val="7C5F6F1C"/>
    <w:rsid w:val="7E2C0792"/>
    <w:rsid w:val="7F41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 w:line="440" w:lineRule="exact"/>
      <w:ind w:left="420" w:leftChars="200" w:firstLine="210" w:firstLineChars="200"/>
    </w:pPr>
    <w:rPr>
      <w:sz w:val="21"/>
    </w:rPr>
  </w:style>
  <w:style w:type="paragraph" w:styleId="3">
    <w:name w:val="Body Text Indent"/>
    <w:basedOn w:val="1"/>
    <w:next w:val="4"/>
    <w:qFormat/>
    <w:uiPriority w:val="0"/>
    <w:pPr>
      <w:widowControl w:val="0"/>
      <w:autoSpaceDE/>
      <w:autoSpaceDN/>
      <w:spacing w:before="0" w:after="120" w:line="240" w:lineRule="auto"/>
      <w:ind w:left="420" w:firstLine="0"/>
      <w:jc w:val="both"/>
    </w:pPr>
    <w:rPr>
      <w:rFonts w:ascii="Times New Roman" w:eastAsia="宋体"/>
      <w:sz w:val="21"/>
    </w:rPr>
  </w:style>
  <w:style w:type="paragraph" w:styleId="4">
    <w:name w:val="Normal Indent"/>
    <w:basedOn w:val="1"/>
    <w:next w:val="5"/>
    <w:qFormat/>
    <w:uiPriority w:val="0"/>
    <w:pPr>
      <w:widowControl w:val="0"/>
      <w:autoSpaceDE/>
      <w:autoSpaceDN/>
      <w:spacing w:before="0" w:after="0" w:line="240" w:lineRule="auto"/>
      <w:ind w:left="0" w:firstLine="420"/>
      <w:jc w:val="both"/>
    </w:pPr>
    <w:rPr>
      <w:rFonts w:ascii="Times New Roman" w:eastAsia="宋体"/>
      <w:sz w:val="21"/>
    </w:rPr>
  </w:style>
  <w:style w:type="paragraph" w:customStyle="1" w:styleId="5">
    <w:name w:val="toc 21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884</Words>
  <Characters>944</Characters>
  <Lines>0</Lines>
  <Paragraphs>0</Paragraphs>
  <TotalTime>189</TotalTime>
  <ScaleCrop>false</ScaleCrop>
  <LinksUpToDate>false</LinksUpToDate>
  <CharactersWithSpaces>944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2023-10-26T01:22:00Z</dcterms:created>
  <dc:creator>CMGE-PC</dc:creator>
  <cp:lastModifiedBy>狄鸿雁</cp:lastModifiedBy>
  <dcterms:modified xsi:type="dcterms:W3CDTF">2026-08-12T07:00:04Z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BA3C555888D74CEC8CC3A129E3033DF4_12</vt:lpwstr>
  </property>
  <property fmtid="{D5CDD505-2E9C-101B-9397-08002B2CF9AE}" pid="4" name="KSOTemplateDocerSaveRecord">
    <vt:lpwstr>eyJoZGlkIjoiMGYyMTZlZWU1ZDA0YzBlNDk5YTZiMmJjY2UzZWQ1YTgiLCJ1c2VySWQiOiIxNTQ5NzE5NzQwIn0=</vt:lpwstr>
  </property>
</Properties>
</file>