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99098">
      <w:pPr>
        <w:spacing w:line="440" w:lineRule="exact"/>
        <w:jc w:val="center"/>
        <w:rPr>
          <w:rFonts w:hint="default" w:ascii="楷体" w:hAnsi="楷体" w:eastAsia="宋体" w:cs="楷体"/>
          <w:b/>
          <w:sz w:val="32"/>
          <w:szCs w:val="32"/>
          <w:lang w:val="en-US" w:eastAsia="zh-CN"/>
        </w:rPr>
      </w:pPr>
      <w:r>
        <w:rPr>
          <w:rFonts w:hint="eastAsia" w:ascii="宋体" w:hAnsi="宋体" w:eastAsia="宋体" w:cs="宋体"/>
          <w:b/>
          <w:sz w:val="32"/>
          <w:szCs w:val="32"/>
        </w:rPr>
        <w:t>评</w:t>
      </w:r>
      <w:r>
        <w:rPr>
          <w:rFonts w:hint="eastAsia" w:ascii="宋体" w:hAnsi="宋体" w:eastAsia="宋体" w:cs="宋体"/>
          <w:b/>
          <w:sz w:val="32"/>
          <w:szCs w:val="32"/>
          <w:lang w:val="en-US" w:eastAsia="zh-CN"/>
        </w:rPr>
        <w:t>分标准</w:t>
      </w:r>
    </w:p>
    <w:tbl>
      <w:tblPr>
        <w:tblStyle w:val="10"/>
        <w:tblW w:w="9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372"/>
        <w:gridCol w:w="778"/>
        <w:gridCol w:w="5400"/>
        <w:gridCol w:w="1331"/>
      </w:tblGrid>
      <w:tr w14:paraId="448F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94" w:type="dxa"/>
            <w:vMerge w:val="restart"/>
            <w:noWrap w:val="0"/>
            <w:vAlign w:val="center"/>
          </w:tcPr>
          <w:p w14:paraId="1C49EB60">
            <w:pPr>
              <w:jc w:val="center"/>
              <w:rPr>
                <w:rFonts w:ascii="宋体" w:hAnsi="宋体"/>
                <w:szCs w:val="21"/>
              </w:rPr>
            </w:pPr>
            <w:r>
              <w:rPr>
                <w:rFonts w:hint="eastAsia" w:ascii="宋体" w:hAnsi="宋体"/>
                <w:szCs w:val="21"/>
              </w:rPr>
              <w:t>序号</w:t>
            </w:r>
          </w:p>
        </w:tc>
        <w:tc>
          <w:tcPr>
            <w:tcW w:w="1372" w:type="dxa"/>
            <w:vMerge w:val="restart"/>
            <w:noWrap w:val="0"/>
            <w:vAlign w:val="center"/>
          </w:tcPr>
          <w:p w14:paraId="45DD70D2">
            <w:pPr>
              <w:jc w:val="center"/>
              <w:rPr>
                <w:rFonts w:ascii="宋体" w:hAnsi="宋体"/>
                <w:szCs w:val="21"/>
              </w:rPr>
            </w:pPr>
            <w:r>
              <w:rPr>
                <w:rFonts w:hint="eastAsia" w:ascii="宋体" w:hAnsi="宋体"/>
                <w:szCs w:val="21"/>
              </w:rPr>
              <w:t>评</w:t>
            </w:r>
            <w:r>
              <w:rPr>
                <w:rFonts w:hint="eastAsia" w:ascii="宋体" w:hAnsi="宋体"/>
                <w:szCs w:val="21"/>
                <w:lang w:val="en-US" w:eastAsia="zh-CN"/>
              </w:rPr>
              <w:t>审内容</w:t>
            </w:r>
          </w:p>
        </w:tc>
        <w:tc>
          <w:tcPr>
            <w:tcW w:w="778" w:type="dxa"/>
            <w:vMerge w:val="restart"/>
            <w:noWrap w:val="0"/>
            <w:vAlign w:val="center"/>
          </w:tcPr>
          <w:p w14:paraId="3AAF8D8B">
            <w:pPr>
              <w:jc w:val="center"/>
              <w:rPr>
                <w:rFonts w:ascii="宋体" w:hAnsi="宋体"/>
                <w:szCs w:val="21"/>
              </w:rPr>
            </w:pPr>
            <w:r>
              <w:rPr>
                <w:rFonts w:hint="eastAsia" w:ascii="宋体" w:hAnsi="宋体"/>
                <w:szCs w:val="21"/>
              </w:rPr>
              <w:t>满分</w:t>
            </w:r>
          </w:p>
        </w:tc>
        <w:tc>
          <w:tcPr>
            <w:tcW w:w="5400" w:type="dxa"/>
            <w:vMerge w:val="restart"/>
            <w:noWrap w:val="0"/>
            <w:vAlign w:val="center"/>
          </w:tcPr>
          <w:p w14:paraId="4FE67C5F">
            <w:pPr>
              <w:jc w:val="center"/>
              <w:rPr>
                <w:rFonts w:ascii="宋体" w:hAnsi="宋体"/>
                <w:szCs w:val="21"/>
              </w:rPr>
            </w:pPr>
            <w:r>
              <w:rPr>
                <w:rFonts w:hint="eastAsia" w:ascii="宋体" w:hAnsi="宋体"/>
                <w:szCs w:val="21"/>
              </w:rPr>
              <w:t>评分标准</w:t>
            </w:r>
          </w:p>
        </w:tc>
        <w:tc>
          <w:tcPr>
            <w:tcW w:w="1331" w:type="dxa"/>
            <w:vMerge w:val="restart"/>
            <w:noWrap w:val="0"/>
            <w:vAlign w:val="center"/>
          </w:tcPr>
          <w:p w14:paraId="039E7E18">
            <w:pPr>
              <w:jc w:val="center"/>
              <w:rPr>
                <w:rFonts w:ascii="宋体" w:hAnsi="宋体"/>
                <w:szCs w:val="21"/>
              </w:rPr>
            </w:pPr>
            <w:r>
              <w:rPr>
                <w:rFonts w:hint="eastAsia" w:ascii="宋体" w:hAnsi="宋体"/>
                <w:szCs w:val="21"/>
              </w:rPr>
              <w:t>得分</w:t>
            </w:r>
          </w:p>
        </w:tc>
      </w:tr>
      <w:tr w14:paraId="2073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4" w:type="dxa"/>
            <w:vMerge w:val="continue"/>
            <w:noWrap w:val="0"/>
            <w:vAlign w:val="center"/>
          </w:tcPr>
          <w:p w14:paraId="34935BD3">
            <w:pPr>
              <w:spacing w:line="280" w:lineRule="exact"/>
              <w:jc w:val="center"/>
              <w:rPr>
                <w:rFonts w:ascii="宋体" w:hAnsi="宋体"/>
                <w:szCs w:val="21"/>
              </w:rPr>
            </w:pPr>
          </w:p>
        </w:tc>
        <w:tc>
          <w:tcPr>
            <w:tcW w:w="1372" w:type="dxa"/>
            <w:vMerge w:val="continue"/>
            <w:noWrap w:val="0"/>
            <w:vAlign w:val="center"/>
          </w:tcPr>
          <w:p w14:paraId="3536CEAF">
            <w:pPr>
              <w:spacing w:line="280" w:lineRule="exact"/>
              <w:jc w:val="center"/>
              <w:rPr>
                <w:rFonts w:ascii="宋体" w:hAnsi="宋体"/>
                <w:szCs w:val="21"/>
              </w:rPr>
            </w:pPr>
          </w:p>
        </w:tc>
        <w:tc>
          <w:tcPr>
            <w:tcW w:w="778" w:type="dxa"/>
            <w:vMerge w:val="continue"/>
            <w:noWrap w:val="0"/>
            <w:vAlign w:val="center"/>
          </w:tcPr>
          <w:p w14:paraId="5FE98BB4">
            <w:pPr>
              <w:spacing w:line="280" w:lineRule="exact"/>
              <w:jc w:val="center"/>
              <w:rPr>
                <w:rFonts w:ascii="宋体" w:hAnsi="宋体"/>
                <w:szCs w:val="21"/>
              </w:rPr>
            </w:pPr>
          </w:p>
        </w:tc>
        <w:tc>
          <w:tcPr>
            <w:tcW w:w="5400" w:type="dxa"/>
            <w:vMerge w:val="continue"/>
            <w:noWrap w:val="0"/>
            <w:vAlign w:val="center"/>
          </w:tcPr>
          <w:p w14:paraId="447F947E">
            <w:pPr>
              <w:spacing w:line="280" w:lineRule="exact"/>
              <w:jc w:val="center"/>
              <w:rPr>
                <w:rFonts w:ascii="宋体" w:hAnsi="宋体"/>
                <w:szCs w:val="21"/>
              </w:rPr>
            </w:pPr>
          </w:p>
        </w:tc>
        <w:tc>
          <w:tcPr>
            <w:tcW w:w="1331" w:type="dxa"/>
            <w:vMerge w:val="continue"/>
            <w:noWrap w:val="0"/>
            <w:vAlign w:val="center"/>
          </w:tcPr>
          <w:p w14:paraId="53F91677">
            <w:pPr>
              <w:spacing w:line="280" w:lineRule="exact"/>
              <w:jc w:val="center"/>
              <w:rPr>
                <w:rFonts w:ascii="宋体" w:hAnsi="宋体"/>
                <w:szCs w:val="21"/>
              </w:rPr>
            </w:pPr>
          </w:p>
        </w:tc>
      </w:tr>
      <w:tr w14:paraId="0A56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0" w:hRule="atLeast"/>
          <w:jc w:val="center"/>
        </w:trPr>
        <w:tc>
          <w:tcPr>
            <w:tcW w:w="694" w:type="dxa"/>
            <w:noWrap w:val="0"/>
            <w:vAlign w:val="center"/>
          </w:tcPr>
          <w:p w14:paraId="03091C35">
            <w:pPr>
              <w:spacing w:line="280" w:lineRule="exact"/>
              <w:jc w:val="center"/>
              <w:rPr>
                <w:rFonts w:ascii="宋体" w:hAnsi="宋体"/>
                <w:szCs w:val="21"/>
              </w:rPr>
            </w:pPr>
            <w:r>
              <w:rPr>
                <w:rFonts w:hint="eastAsia" w:ascii="宋体" w:hAnsi="宋体"/>
                <w:szCs w:val="21"/>
              </w:rPr>
              <w:t>1</w:t>
            </w:r>
          </w:p>
        </w:tc>
        <w:tc>
          <w:tcPr>
            <w:tcW w:w="1372" w:type="dxa"/>
            <w:noWrap w:val="0"/>
            <w:vAlign w:val="center"/>
          </w:tcPr>
          <w:p w14:paraId="1003EA37">
            <w:pPr>
              <w:spacing w:line="280" w:lineRule="exact"/>
              <w:jc w:val="center"/>
              <w:rPr>
                <w:rFonts w:ascii="宋体" w:hAnsi="宋体"/>
                <w:szCs w:val="21"/>
              </w:rPr>
            </w:pPr>
            <w:r>
              <w:rPr>
                <w:rFonts w:hint="eastAsia" w:ascii="宋体" w:hAnsi="宋体"/>
                <w:szCs w:val="21"/>
              </w:rPr>
              <w:t>报价</w:t>
            </w:r>
          </w:p>
        </w:tc>
        <w:tc>
          <w:tcPr>
            <w:tcW w:w="778" w:type="dxa"/>
            <w:noWrap w:val="0"/>
            <w:vAlign w:val="center"/>
          </w:tcPr>
          <w:p w14:paraId="6FD60A58">
            <w:pPr>
              <w:spacing w:line="28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40分</w:t>
            </w:r>
          </w:p>
        </w:tc>
        <w:tc>
          <w:tcPr>
            <w:tcW w:w="5400" w:type="dxa"/>
            <w:noWrap w:val="0"/>
            <w:vAlign w:val="center"/>
          </w:tcPr>
          <w:p w14:paraId="13B4C029">
            <w:pPr>
              <w:rPr>
                <w:rFonts w:hint="default" w:eastAsia="宋体" w:cs="宋体"/>
                <w:szCs w:val="21"/>
                <w:lang w:val="en-US" w:eastAsia="zh-CN"/>
              </w:rPr>
            </w:pPr>
            <w:r>
              <w:rPr>
                <w:rFonts w:hint="eastAsia" w:ascii="Calibri" w:hAnsi="Calibri" w:eastAsia="宋体" w:cs="Times New Roman"/>
                <w:kern w:val="2"/>
                <w:sz w:val="21"/>
                <w:szCs w:val="21"/>
                <w:vertAlign w:val="baseline"/>
                <w:lang w:val="en-US" w:eastAsia="zh-CN" w:bidi="ar-SA"/>
              </w:rPr>
              <w:t>投标报价每比评标基准价高一个百分点扣</w:t>
            </w:r>
            <w:r>
              <w:rPr>
                <w:rFonts w:hint="eastAsia" w:eastAsia="宋体" w:cs="Times New Roman"/>
                <w:kern w:val="2"/>
                <w:sz w:val="21"/>
                <w:szCs w:val="21"/>
                <w:vertAlign w:val="baseline"/>
                <w:lang w:val="en-US" w:eastAsia="zh-CN" w:bidi="ar-SA"/>
              </w:rPr>
              <w:t>1</w:t>
            </w:r>
            <w:r>
              <w:rPr>
                <w:rFonts w:hint="eastAsia" w:ascii="Calibri" w:hAnsi="Calibri" w:eastAsia="宋体" w:cs="Times New Roman"/>
                <w:kern w:val="2"/>
                <w:sz w:val="21"/>
                <w:szCs w:val="21"/>
                <w:vertAlign w:val="baseline"/>
                <w:lang w:val="en-US" w:eastAsia="zh-CN" w:bidi="ar-SA"/>
              </w:rPr>
              <w:t>分，低一个百分点扣</w:t>
            </w:r>
            <w:r>
              <w:rPr>
                <w:rFonts w:hint="eastAsia" w:eastAsia="宋体" w:cs="Times New Roman"/>
                <w:kern w:val="2"/>
                <w:sz w:val="21"/>
                <w:szCs w:val="21"/>
                <w:vertAlign w:val="baseline"/>
                <w:lang w:val="en-US" w:eastAsia="zh-CN" w:bidi="ar-SA"/>
              </w:rPr>
              <w:t>0.5</w:t>
            </w:r>
            <w:r>
              <w:rPr>
                <w:rFonts w:hint="eastAsia" w:ascii="Calibri" w:hAnsi="Calibri" w:eastAsia="宋体" w:cs="Times New Roman"/>
                <w:kern w:val="2"/>
                <w:sz w:val="21"/>
                <w:szCs w:val="21"/>
                <w:vertAlign w:val="baseline"/>
                <w:lang w:val="en-US" w:eastAsia="zh-CN" w:bidi="ar-SA"/>
              </w:rPr>
              <w:t>分，扣完为止。</w:t>
            </w:r>
            <w:r>
              <w:rPr>
                <w:rFonts w:hint="eastAsia" w:cs="Times New Roman"/>
                <w:kern w:val="2"/>
                <w:sz w:val="21"/>
                <w:szCs w:val="21"/>
                <w:vertAlign w:val="baseline"/>
                <w:lang w:val="en-US" w:eastAsia="zh-CN" w:bidi="ar-SA"/>
              </w:rPr>
              <w:t>偏差百分点不足1时，采用四舍五入法取整数核算。</w:t>
            </w:r>
          </w:p>
          <w:p w14:paraId="15C24B9D">
            <w:pPr>
              <w:rPr>
                <w:rFonts w:hint="eastAsia"/>
                <w:sz w:val="21"/>
                <w:szCs w:val="21"/>
                <w:vertAlign w:val="baseline"/>
                <w:lang w:eastAsia="zh-CN"/>
              </w:rPr>
            </w:pPr>
            <w:r>
              <w:rPr>
                <w:rFonts w:hint="eastAsia" w:eastAsia="宋体" w:cs="宋体"/>
                <w:szCs w:val="21"/>
                <w:lang w:eastAsia="zh-CN"/>
              </w:rPr>
              <w:t>（</w:t>
            </w:r>
            <w:r>
              <w:rPr>
                <w:rFonts w:hint="eastAsia" w:eastAsia="宋体" w:cs="宋体"/>
                <w:szCs w:val="21"/>
                <w:lang w:val="en-US" w:eastAsia="zh-CN"/>
              </w:rPr>
              <w:t>1</w:t>
            </w:r>
            <w:r>
              <w:rPr>
                <w:rFonts w:hint="eastAsia" w:eastAsia="宋体" w:cs="宋体"/>
                <w:szCs w:val="21"/>
                <w:lang w:eastAsia="zh-CN"/>
              </w:rPr>
              <w:t>）</w:t>
            </w:r>
            <w:r>
              <w:rPr>
                <w:rFonts w:hint="eastAsia" w:eastAsia="宋体" w:cs="宋体"/>
                <w:szCs w:val="21"/>
              </w:rPr>
              <w:t>评标基准价</w:t>
            </w:r>
          </w:p>
          <w:p w14:paraId="79F7A785">
            <w:pPr>
              <w:pStyle w:val="8"/>
              <w:widowControl/>
              <w:shd w:val="clear" w:color="auto" w:fill="FFFFFF"/>
              <w:spacing w:before="0" w:beforeAutospacing="0" w:after="0" w:afterAutospacing="0"/>
              <w:ind w:firstLine="420" w:firstLineChars="20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当有效报价＞20家时,去掉四个最高和四个最低报价后取所有有效报价的平均值做为评标基准价；</w:t>
            </w:r>
          </w:p>
          <w:p w14:paraId="1B091A6E">
            <w:pPr>
              <w:pStyle w:val="8"/>
              <w:widowControl/>
              <w:shd w:val="clear" w:color="auto" w:fill="FFFFFF"/>
              <w:spacing w:before="0" w:beforeAutospacing="0" w:after="0" w:afterAutospacing="0"/>
              <w:ind w:firstLine="420" w:firstLineChars="20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当有效报价＞10、≤20家时，去掉两个最高和两个最低报价后取所有有效报价的平均值做为评标基准价；</w:t>
            </w:r>
          </w:p>
          <w:p w14:paraId="38CE67D7">
            <w:pPr>
              <w:pStyle w:val="8"/>
              <w:widowControl/>
              <w:shd w:val="clear" w:color="auto" w:fill="FFFFFF"/>
              <w:spacing w:before="0" w:beforeAutospacing="0" w:after="0" w:afterAutospacing="0"/>
              <w:ind w:firstLine="420" w:firstLineChars="20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当有效报价＞</w:t>
            </w:r>
            <w:r>
              <w:rPr>
                <w:rFonts w:hint="eastAsia" w:cs="Times New Roman"/>
                <w:kern w:val="2"/>
                <w:sz w:val="21"/>
                <w:szCs w:val="21"/>
                <w:vertAlign w:val="baseline"/>
                <w:lang w:val="en-US" w:eastAsia="zh-CN" w:bidi="ar-SA"/>
              </w:rPr>
              <w:t>7</w:t>
            </w:r>
            <w:r>
              <w:rPr>
                <w:rFonts w:hint="eastAsia" w:ascii="Calibri" w:hAnsi="Calibri" w:eastAsia="宋体" w:cs="Times New Roman"/>
                <w:kern w:val="2"/>
                <w:sz w:val="21"/>
                <w:szCs w:val="21"/>
                <w:vertAlign w:val="baseline"/>
                <w:lang w:val="en-US" w:eastAsia="zh-CN" w:bidi="ar-SA"/>
              </w:rPr>
              <w:t>、≤10家</w:t>
            </w:r>
            <w:r>
              <w:rPr>
                <w:rFonts w:hint="eastAsia" w:cs="Times New Roman"/>
                <w:kern w:val="2"/>
                <w:sz w:val="21"/>
                <w:szCs w:val="21"/>
                <w:vertAlign w:val="baseline"/>
                <w:lang w:val="en-US" w:eastAsia="zh-CN" w:bidi="ar-SA"/>
              </w:rPr>
              <w:t>时</w:t>
            </w:r>
            <w:r>
              <w:rPr>
                <w:rFonts w:hint="eastAsia" w:ascii="Calibri" w:hAnsi="Calibri" w:eastAsia="宋体" w:cs="Times New Roman"/>
                <w:kern w:val="2"/>
                <w:sz w:val="21"/>
                <w:szCs w:val="21"/>
                <w:vertAlign w:val="baseline"/>
                <w:lang w:val="en-US" w:eastAsia="zh-CN" w:bidi="ar-SA"/>
              </w:rPr>
              <w:t>，去掉一个最高和一个最低后取所有有效报价的平均值做为评标基准价；</w:t>
            </w:r>
          </w:p>
          <w:p w14:paraId="05456F24">
            <w:pPr>
              <w:pStyle w:val="8"/>
              <w:widowControl/>
              <w:shd w:val="clear" w:color="auto" w:fill="FFFFFF"/>
              <w:spacing w:before="0" w:beforeAutospacing="0" w:after="0" w:afterAutospacing="0"/>
              <w:ind w:firstLine="420" w:firstLineChars="20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当有效报价≤</w:t>
            </w:r>
            <w:r>
              <w:rPr>
                <w:rFonts w:hint="eastAsia" w:cs="Times New Roman"/>
                <w:kern w:val="2"/>
                <w:sz w:val="21"/>
                <w:szCs w:val="21"/>
                <w:vertAlign w:val="baseline"/>
                <w:lang w:val="en-US" w:eastAsia="zh-CN" w:bidi="ar-SA"/>
              </w:rPr>
              <w:t>7</w:t>
            </w:r>
            <w:r>
              <w:rPr>
                <w:rFonts w:hint="eastAsia" w:ascii="Calibri" w:hAnsi="Calibri" w:eastAsia="宋体" w:cs="Times New Roman"/>
                <w:kern w:val="2"/>
                <w:sz w:val="21"/>
                <w:szCs w:val="21"/>
                <w:vertAlign w:val="baseline"/>
                <w:lang w:val="en-US" w:eastAsia="zh-CN" w:bidi="ar-SA"/>
              </w:rPr>
              <w:t>家时，取所有有效报价的平均值做为评标基准价。</w:t>
            </w:r>
          </w:p>
          <w:p w14:paraId="450995BD">
            <w:pPr>
              <w:jc w:val="center"/>
              <w:rPr>
                <w:rFonts w:hint="eastAsia" w:ascii="Calibri" w:hAnsi="Calibri" w:eastAsia="宋体" w:cs="Times New Roman"/>
                <w:kern w:val="2"/>
                <w:sz w:val="21"/>
                <w:szCs w:val="21"/>
                <w:vertAlign w:val="baseline"/>
                <w:lang w:val="en-US" w:eastAsia="zh-CN" w:bidi="ar-SA"/>
              </w:rPr>
            </w:pPr>
            <w:r>
              <w:rPr>
                <w:rFonts w:hint="eastAsia" w:ascii="宋体" w:hAnsi="宋体" w:eastAsia="宋体" w:cs="宋体"/>
                <w:kern w:val="0"/>
                <w:sz w:val="21"/>
                <w:szCs w:val="21"/>
                <w:lang w:val="en-US" w:eastAsia="zh-CN" w:bidi="ar-SA"/>
              </w:rPr>
              <w:t>（</w:t>
            </w:r>
            <w:r>
              <w:rPr>
                <w:rFonts w:hint="eastAsia" w:eastAsia="宋体" w:cs="宋体"/>
                <w:szCs w:val="21"/>
              </w:rPr>
              <w:t>投标人通过形式、资格和响应性评审且没有其他原因被否决，则投标人为有效投标人，其报价为有效报价。</w:t>
            </w:r>
            <w:r>
              <w:rPr>
                <w:rFonts w:hint="eastAsia" w:ascii="宋体" w:hAnsi="宋体" w:eastAsia="宋体" w:cs="宋体"/>
                <w:kern w:val="0"/>
                <w:sz w:val="21"/>
                <w:szCs w:val="21"/>
                <w:lang w:val="en-US" w:eastAsia="zh-CN" w:bidi="ar-SA"/>
              </w:rPr>
              <w:t>）</w:t>
            </w:r>
          </w:p>
          <w:p w14:paraId="0B4F2FAB">
            <w:pPr>
              <w:pStyle w:val="8"/>
              <w:widowControl/>
              <w:shd w:val="clear" w:color="auto" w:fill="FFFFFF"/>
              <w:spacing w:before="0" w:beforeAutospacing="0" w:after="0" w:afterAutospacing="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（2）投标报价的偏差率计算公式</w:t>
            </w:r>
          </w:p>
          <w:p w14:paraId="3934C2F3">
            <w:pPr>
              <w:pStyle w:val="8"/>
              <w:widowControl/>
              <w:shd w:val="clear" w:color="auto" w:fill="FFFFFF"/>
              <w:spacing w:before="0" w:beforeAutospacing="0" w:after="0" w:afterAutospacing="0"/>
              <w:rPr>
                <w:rFonts w:hint="eastAsia" w:ascii="Calibri" w:hAnsi="Calibri" w:eastAsia="宋体" w:cs="Times New Roman"/>
                <w:kern w:val="2"/>
                <w:sz w:val="21"/>
                <w:szCs w:val="21"/>
                <w:vertAlign w:val="baseline"/>
                <w:lang w:val="en-US" w:eastAsia="zh-CN" w:bidi="ar-SA"/>
              </w:rPr>
            </w:pPr>
            <w:r>
              <w:rPr>
                <w:rFonts w:hint="eastAsia" w:ascii="Calibri" w:hAnsi="Calibri" w:eastAsia="宋体" w:cs="Times New Roman"/>
                <w:kern w:val="2"/>
                <w:sz w:val="21"/>
                <w:szCs w:val="21"/>
                <w:vertAlign w:val="baseline"/>
                <w:lang w:val="en-US" w:eastAsia="zh-CN" w:bidi="ar-SA"/>
              </w:rPr>
              <w:t>偏差率（取整）=100%×（有效报价−评标基准价）/评标基准价</w:t>
            </w:r>
          </w:p>
        </w:tc>
        <w:tc>
          <w:tcPr>
            <w:tcW w:w="1331" w:type="dxa"/>
            <w:noWrap w:val="0"/>
            <w:vAlign w:val="center"/>
          </w:tcPr>
          <w:p w14:paraId="196C851F">
            <w:pPr>
              <w:spacing w:line="28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0-40分</w:t>
            </w:r>
          </w:p>
        </w:tc>
      </w:tr>
      <w:tr w14:paraId="7841C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top w:val="single" w:color="000000" w:sz="8" w:space="0"/>
              <w:left w:val="single" w:color="000000" w:sz="8" w:space="0"/>
              <w:right w:val="single" w:color="000000" w:sz="8" w:space="0"/>
            </w:tcBorders>
            <w:shd w:val="clear" w:color="auto" w:fill="FFFFFF"/>
            <w:noWrap w:val="0"/>
            <w:vAlign w:val="center"/>
          </w:tcPr>
          <w:p w14:paraId="339E28B5">
            <w:pPr>
              <w:tabs>
                <w:tab w:val="left" w:pos="360"/>
              </w:tabs>
              <w:jc w:val="center"/>
              <w:rPr>
                <w:rFonts w:ascii="宋体" w:hAnsi="宋体"/>
                <w:szCs w:val="21"/>
              </w:rPr>
            </w:pPr>
            <w:r>
              <w:rPr>
                <w:rFonts w:hint="eastAsia" w:ascii="宋体" w:hAnsi="宋体"/>
                <w:szCs w:val="21"/>
              </w:rPr>
              <w:t>2</w:t>
            </w:r>
          </w:p>
        </w:tc>
        <w:tc>
          <w:tcPr>
            <w:tcW w:w="1372" w:type="dxa"/>
            <w:vMerge w:val="restart"/>
            <w:tcBorders>
              <w:top w:val="single" w:color="000000" w:sz="8" w:space="0"/>
              <w:left w:val="single" w:color="000000" w:sz="8" w:space="0"/>
              <w:right w:val="single" w:color="000000" w:sz="8" w:space="0"/>
            </w:tcBorders>
            <w:shd w:val="clear" w:color="auto" w:fill="FFFFFF"/>
            <w:noWrap w:val="0"/>
            <w:vAlign w:val="center"/>
          </w:tcPr>
          <w:p w14:paraId="0935A7A6">
            <w:pPr>
              <w:jc w:val="center"/>
              <w:rPr>
                <w:rFonts w:hint="eastAsia" w:eastAsia="宋体" w:cs="宋体"/>
                <w:szCs w:val="21"/>
              </w:rPr>
            </w:pPr>
            <w:r>
              <w:rPr>
                <w:rFonts w:hint="eastAsia" w:eastAsia="宋体" w:cs="宋体"/>
                <w:szCs w:val="21"/>
                <w:lang w:val="en-US" w:eastAsia="zh-CN"/>
              </w:rPr>
              <w:t>总体</w:t>
            </w:r>
            <w:r>
              <w:rPr>
                <w:rFonts w:hint="eastAsia" w:eastAsia="宋体" w:cs="宋体"/>
                <w:szCs w:val="21"/>
              </w:rPr>
              <w:t>方案</w:t>
            </w:r>
          </w:p>
          <w:p w14:paraId="54FF9A49">
            <w:pPr>
              <w:jc w:val="center"/>
              <w:rPr>
                <w:rFonts w:ascii="宋体" w:hAnsi="宋体"/>
                <w:szCs w:val="21"/>
              </w:rPr>
            </w:pPr>
            <w:r>
              <w:rPr>
                <w:rFonts w:hint="eastAsia" w:eastAsia="宋体" w:cs="宋体"/>
                <w:szCs w:val="21"/>
                <w:lang w:val="en-US" w:eastAsia="zh-CN"/>
              </w:rPr>
              <w:t>及概述</w:t>
            </w:r>
          </w:p>
        </w:tc>
        <w:tc>
          <w:tcPr>
            <w:tcW w:w="778" w:type="dxa"/>
            <w:vMerge w:val="restart"/>
            <w:tcBorders>
              <w:top w:val="single" w:color="000000" w:sz="8" w:space="0"/>
              <w:left w:val="single" w:color="000000" w:sz="8" w:space="0"/>
              <w:right w:val="single" w:color="000000" w:sz="8" w:space="0"/>
            </w:tcBorders>
            <w:shd w:val="clear" w:color="auto" w:fill="FFFFFF"/>
            <w:noWrap w:val="0"/>
            <w:vAlign w:val="center"/>
          </w:tcPr>
          <w:p w14:paraId="0F8F6DF3">
            <w:pPr>
              <w:jc w:val="center"/>
              <w:rPr>
                <w:highlight w:val="none"/>
              </w:rPr>
            </w:pPr>
            <w:r>
              <w:rPr>
                <w:rFonts w:hint="eastAsia" w:ascii="宋体" w:hAnsi="宋体"/>
                <w:highlight w:val="none"/>
                <w:lang w:val="en-US" w:eastAsia="zh-CN"/>
              </w:rPr>
              <w:t>10</w:t>
            </w:r>
            <w:r>
              <w:rPr>
                <w:rFonts w:hint="eastAsia" w:ascii="宋体" w:hAnsi="宋体"/>
                <w:highlight w:val="none"/>
              </w:rPr>
              <w:t>分</w:t>
            </w:r>
          </w:p>
        </w:tc>
        <w:tc>
          <w:tcPr>
            <w:tcW w:w="5400" w:type="dxa"/>
            <w:tcBorders>
              <w:top w:val="single" w:color="000000" w:sz="8" w:space="0"/>
              <w:left w:val="single" w:color="000000" w:sz="8" w:space="0"/>
              <w:bottom w:val="single" w:color="auto" w:sz="4" w:space="0"/>
              <w:right w:val="single" w:color="auto" w:sz="4" w:space="0"/>
            </w:tcBorders>
            <w:shd w:val="clear" w:color="auto" w:fill="FFFFFF"/>
            <w:noWrap w:val="0"/>
            <w:vAlign w:val="center"/>
          </w:tcPr>
          <w:p w14:paraId="6AF38959">
            <w:pPr>
              <w:spacing w:line="300" w:lineRule="auto"/>
              <w:rPr>
                <w:rFonts w:ascii="宋体" w:hAnsi="宋体"/>
                <w:szCs w:val="21"/>
              </w:rPr>
            </w:pPr>
            <w:r>
              <w:rPr>
                <w:rFonts w:hint="eastAsia" w:ascii="宋体" w:hAnsi="宋体"/>
                <w:szCs w:val="21"/>
              </w:rPr>
              <w:t>科学、合理、完善，可行</w:t>
            </w:r>
          </w:p>
        </w:tc>
        <w:tc>
          <w:tcPr>
            <w:tcW w:w="1331" w:type="dxa"/>
            <w:tcBorders>
              <w:top w:val="single" w:color="000000" w:sz="8" w:space="0"/>
              <w:left w:val="single" w:color="auto" w:sz="4" w:space="0"/>
              <w:bottom w:val="single" w:color="auto" w:sz="4" w:space="0"/>
              <w:right w:val="single" w:color="000000" w:sz="8" w:space="0"/>
            </w:tcBorders>
            <w:shd w:val="clear" w:color="auto" w:fill="FFFFFF"/>
            <w:noWrap w:val="0"/>
            <w:vAlign w:val="center"/>
          </w:tcPr>
          <w:p w14:paraId="3704276A">
            <w:pPr>
              <w:spacing w:line="300" w:lineRule="auto"/>
              <w:jc w:val="center"/>
              <w:rPr>
                <w:rFonts w:ascii="宋体" w:hAnsi="宋体"/>
                <w:szCs w:val="21"/>
              </w:rPr>
            </w:pPr>
            <w:r>
              <w:rPr>
                <w:rFonts w:hint="eastAsia" w:ascii="宋体" w:hAnsi="宋体"/>
                <w:szCs w:val="21"/>
                <w:lang w:val="en-US" w:eastAsia="zh-CN"/>
              </w:rPr>
              <w:t>8-10</w:t>
            </w:r>
            <w:r>
              <w:rPr>
                <w:rFonts w:hint="eastAsia" w:ascii="宋体" w:hAnsi="宋体"/>
                <w:szCs w:val="21"/>
              </w:rPr>
              <w:t>分</w:t>
            </w:r>
          </w:p>
        </w:tc>
      </w:tr>
      <w:tr w14:paraId="77A5E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07AB811D">
            <w:pPr>
              <w:tabs>
                <w:tab w:val="left" w:pos="360"/>
              </w:tabs>
              <w:jc w:val="center"/>
              <w:rPr>
                <w:rFonts w:ascii="宋体" w:hAnsi="宋体"/>
                <w:szCs w:val="21"/>
              </w:rPr>
            </w:pPr>
          </w:p>
        </w:tc>
        <w:tc>
          <w:tcPr>
            <w:tcW w:w="1372" w:type="dxa"/>
            <w:vMerge w:val="continue"/>
            <w:tcBorders>
              <w:left w:val="single" w:color="000000" w:sz="8" w:space="0"/>
              <w:bottom w:val="single" w:color="auto" w:sz="4" w:space="0"/>
              <w:right w:val="single" w:color="000000" w:sz="8" w:space="0"/>
            </w:tcBorders>
            <w:shd w:val="clear" w:color="auto" w:fill="FFFFFF"/>
            <w:noWrap w:val="0"/>
            <w:vAlign w:val="center"/>
          </w:tcPr>
          <w:p w14:paraId="2C9D5A1F">
            <w:pPr>
              <w:tabs>
                <w:tab w:val="left" w:pos="360"/>
                <w:tab w:val="left" w:pos="498"/>
              </w:tabs>
              <w:jc w:val="center"/>
              <w:rPr>
                <w:rFonts w:ascii="宋体" w:hAnsi="宋体"/>
                <w:kern w:val="0"/>
                <w:szCs w:val="21"/>
              </w:rPr>
            </w:pPr>
          </w:p>
        </w:tc>
        <w:tc>
          <w:tcPr>
            <w:tcW w:w="778" w:type="dxa"/>
            <w:vMerge w:val="continue"/>
            <w:tcBorders>
              <w:left w:val="single" w:color="000000" w:sz="8" w:space="0"/>
              <w:bottom w:val="single" w:color="auto" w:sz="4" w:space="0"/>
              <w:right w:val="single" w:color="000000" w:sz="8" w:space="0"/>
            </w:tcBorders>
            <w:shd w:val="clear" w:color="auto" w:fill="FFFFFF"/>
            <w:noWrap w:val="0"/>
            <w:vAlign w:val="center"/>
          </w:tcPr>
          <w:p w14:paraId="05A907DB">
            <w:pPr>
              <w:tabs>
                <w:tab w:val="left" w:pos="360"/>
              </w:tabs>
              <w:jc w:val="center"/>
              <w:rPr>
                <w:rFonts w:ascii="宋体" w:hAnsi="宋体" w:cs="Microsoft JhengHei"/>
                <w:spacing w:val="-3"/>
                <w:szCs w:val="21"/>
                <w:highlight w:val="none"/>
              </w:rPr>
            </w:pPr>
          </w:p>
        </w:tc>
        <w:tc>
          <w:tcPr>
            <w:tcW w:w="5400" w:type="dxa"/>
            <w:tcBorders>
              <w:top w:val="single" w:color="auto" w:sz="4" w:space="0"/>
              <w:left w:val="single" w:color="000000" w:sz="8" w:space="0"/>
              <w:bottom w:val="single" w:color="auto" w:sz="4" w:space="0"/>
              <w:right w:val="single" w:color="auto" w:sz="4" w:space="0"/>
            </w:tcBorders>
            <w:shd w:val="clear" w:color="auto" w:fill="FFFFFF"/>
            <w:noWrap w:val="0"/>
            <w:vAlign w:val="center"/>
          </w:tcPr>
          <w:p w14:paraId="434CC6A4">
            <w:pPr>
              <w:spacing w:line="300" w:lineRule="auto"/>
              <w:rPr>
                <w:rFonts w:ascii="宋体" w:hAnsi="宋体"/>
                <w:szCs w:val="21"/>
              </w:rPr>
            </w:pPr>
            <w:r>
              <w:rPr>
                <w:rFonts w:hint="eastAsia" w:ascii="宋体" w:hAnsi="宋体"/>
                <w:szCs w:val="21"/>
              </w:rPr>
              <w:t xml:space="preserve">较科学合理 </w:t>
            </w:r>
          </w:p>
        </w:tc>
        <w:tc>
          <w:tcPr>
            <w:tcW w:w="1331"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699F095D">
            <w:pPr>
              <w:spacing w:line="300" w:lineRule="auto"/>
              <w:jc w:val="center"/>
              <w:rPr>
                <w:rFonts w:ascii="宋体" w:hAnsi="宋体"/>
                <w:szCs w:val="21"/>
              </w:rPr>
            </w:pPr>
            <w:r>
              <w:rPr>
                <w:rFonts w:hint="eastAsia" w:ascii="宋体" w:hAnsi="宋体"/>
                <w:szCs w:val="21"/>
                <w:lang w:val="en-US" w:eastAsia="zh-CN"/>
              </w:rPr>
              <w:t>4-7</w:t>
            </w:r>
            <w:r>
              <w:rPr>
                <w:rFonts w:hint="eastAsia" w:ascii="宋体" w:hAnsi="宋体"/>
                <w:szCs w:val="21"/>
              </w:rPr>
              <w:t>分</w:t>
            </w:r>
          </w:p>
        </w:tc>
      </w:tr>
      <w:tr w14:paraId="2266C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4AA7AE2C">
            <w:pPr>
              <w:tabs>
                <w:tab w:val="left" w:pos="360"/>
              </w:tabs>
              <w:jc w:val="center"/>
              <w:rPr>
                <w:rFonts w:ascii="宋体" w:hAnsi="宋体"/>
                <w:szCs w:val="21"/>
              </w:rPr>
            </w:pPr>
          </w:p>
        </w:tc>
        <w:tc>
          <w:tcPr>
            <w:tcW w:w="1372" w:type="dxa"/>
            <w:vMerge w:val="continue"/>
            <w:tcBorders>
              <w:left w:val="single" w:color="000000" w:sz="8" w:space="0"/>
              <w:bottom w:val="single" w:color="auto" w:sz="4" w:space="0"/>
              <w:right w:val="single" w:color="000000" w:sz="8" w:space="0"/>
            </w:tcBorders>
            <w:shd w:val="clear" w:color="auto" w:fill="FFFFFF"/>
            <w:noWrap w:val="0"/>
            <w:vAlign w:val="center"/>
          </w:tcPr>
          <w:p w14:paraId="113FC27F">
            <w:pPr>
              <w:tabs>
                <w:tab w:val="left" w:pos="360"/>
                <w:tab w:val="left" w:pos="498"/>
              </w:tabs>
              <w:jc w:val="center"/>
              <w:rPr>
                <w:rFonts w:ascii="宋体" w:hAnsi="宋体"/>
                <w:kern w:val="0"/>
                <w:szCs w:val="21"/>
              </w:rPr>
            </w:pPr>
          </w:p>
        </w:tc>
        <w:tc>
          <w:tcPr>
            <w:tcW w:w="778" w:type="dxa"/>
            <w:vMerge w:val="continue"/>
            <w:tcBorders>
              <w:left w:val="single" w:color="000000" w:sz="8" w:space="0"/>
              <w:bottom w:val="single" w:color="auto" w:sz="4" w:space="0"/>
              <w:right w:val="single" w:color="000000" w:sz="8" w:space="0"/>
            </w:tcBorders>
            <w:shd w:val="clear" w:color="auto" w:fill="FFFFFF"/>
            <w:noWrap w:val="0"/>
            <w:vAlign w:val="center"/>
          </w:tcPr>
          <w:p w14:paraId="56D86B21">
            <w:pPr>
              <w:tabs>
                <w:tab w:val="left" w:pos="360"/>
              </w:tabs>
              <w:jc w:val="center"/>
              <w:rPr>
                <w:rFonts w:ascii="宋体" w:hAnsi="宋体" w:cs="Microsoft JhengHei"/>
                <w:spacing w:val="-3"/>
                <w:szCs w:val="21"/>
                <w:highlight w:val="none"/>
              </w:rPr>
            </w:pPr>
          </w:p>
        </w:tc>
        <w:tc>
          <w:tcPr>
            <w:tcW w:w="5400" w:type="dxa"/>
            <w:tcBorders>
              <w:top w:val="single" w:color="auto" w:sz="4" w:space="0"/>
              <w:left w:val="single" w:color="000000" w:sz="8" w:space="0"/>
              <w:bottom w:val="single" w:color="auto" w:sz="4" w:space="0"/>
              <w:right w:val="single" w:color="auto" w:sz="4" w:space="0"/>
            </w:tcBorders>
            <w:shd w:val="clear" w:color="auto" w:fill="FFFFFF"/>
            <w:noWrap w:val="0"/>
            <w:vAlign w:val="top"/>
          </w:tcPr>
          <w:p w14:paraId="1AD6E91E">
            <w:pPr>
              <w:spacing w:line="300" w:lineRule="auto"/>
              <w:rPr>
                <w:rFonts w:ascii="宋体" w:hAnsi="宋体"/>
                <w:szCs w:val="21"/>
              </w:rPr>
            </w:pPr>
            <w:r>
              <w:rPr>
                <w:rFonts w:hint="eastAsia" w:ascii="宋体" w:hAnsi="宋体"/>
                <w:szCs w:val="21"/>
              </w:rPr>
              <w:t>一般</w:t>
            </w:r>
          </w:p>
        </w:tc>
        <w:tc>
          <w:tcPr>
            <w:tcW w:w="1331"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22B32E81">
            <w:pPr>
              <w:spacing w:line="300" w:lineRule="auto"/>
              <w:jc w:val="center"/>
              <w:rPr>
                <w:rFonts w:ascii="宋体" w:hAnsi="宋体"/>
                <w:szCs w:val="21"/>
              </w:rPr>
            </w:pPr>
            <w:r>
              <w:rPr>
                <w:rFonts w:hint="eastAsia" w:ascii="宋体" w:hAnsi="宋体"/>
                <w:szCs w:val="21"/>
                <w:lang w:val="en-US" w:eastAsia="zh-CN"/>
              </w:rPr>
              <w:t>0-3</w:t>
            </w:r>
            <w:r>
              <w:rPr>
                <w:rFonts w:hint="eastAsia" w:ascii="宋体" w:hAnsi="宋体"/>
                <w:szCs w:val="21"/>
              </w:rPr>
              <w:t>分</w:t>
            </w:r>
          </w:p>
        </w:tc>
      </w:tr>
      <w:tr w14:paraId="0018A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top w:val="single" w:color="auto" w:sz="4" w:space="0"/>
              <w:left w:val="single" w:color="000000" w:sz="8" w:space="0"/>
              <w:right w:val="single" w:color="000000" w:sz="8" w:space="0"/>
            </w:tcBorders>
            <w:shd w:val="clear" w:color="auto" w:fill="FFFFFF"/>
            <w:noWrap w:val="0"/>
            <w:vAlign w:val="center"/>
          </w:tcPr>
          <w:p w14:paraId="11208780">
            <w:pPr>
              <w:tabs>
                <w:tab w:val="left" w:pos="360"/>
              </w:tabs>
              <w:jc w:val="center"/>
              <w:rPr>
                <w:rFonts w:ascii="宋体" w:hAnsi="宋体"/>
                <w:szCs w:val="21"/>
              </w:rPr>
            </w:pPr>
            <w:r>
              <w:rPr>
                <w:rFonts w:hint="eastAsia" w:ascii="宋体" w:hAnsi="宋体"/>
                <w:szCs w:val="21"/>
              </w:rPr>
              <w:t>3</w:t>
            </w:r>
          </w:p>
        </w:tc>
        <w:tc>
          <w:tcPr>
            <w:tcW w:w="1372" w:type="dxa"/>
            <w:vMerge w:val="restart"/>
            <w:tcBorders>
              <w:top w:val="single" w:color="auto" w:sz="4" w:space="0"/>
              <w:left w:val="single" w:color="000000" w:sz="8" w:space="0"/>
              <w:right w:val="single" w:color="000000" w:sz="8" w:space="0"/>
            </w:tcBorders>
            <w:shd w:val="clear" w:color="auto" w:fill="FFFFFF"/>
            <w:noWrap w:val="0"/>
            <w:vAlign w:val="center"/>
          </w:tcPr>
          <w:p w14:paraId="6036123C">
            <w:pPr>
              <w:jc w:val="center"/>
              <w:rPr>
                <w:rFonts w:hint="default" w:ascii="宋体" w:hAnsi="宋体" w:eastAsia="宋体" w:cs="Microsoft JhengHei"/>
                <w:spacing w:val="-3"/>
                <w:szCs w:val="21"/>
                <w:lang w:val="en-US" w:eastAsia="zh-CN"/>
              </w:rPr>
            </w:pPr>
            <w:r>
              <w:rPr>
                <w:rFonts w:hint="eastAsia" w:eastAsia="宋体" w:cs="宋体"/>
                <w:szCs w:val="21"/>
                <w:lang w:val="en-US" w:eastAsia="zh-CN"/>
              </w:rPr>
              <w:t>人员配备</w:t>
            </w:r>
          </w:p>
        </w:tc>
        <w:tc>
          <w:tcPr>
            <w:tcW w:w="778" w:type="dxa"/>
            <w:vMerge w:val="restart"/>
            <w:tcBorders>
              <w:top w:val="single" w:color="auto" w:sz="4" w:space="0"/>
              <w:left w:val="single" w:color="000000" w:sz="8" w:space="0"/>
              <w:right w:val="single" w:color="000000" w:sz="8" w:space="0"/>
            </w:tcBorders>
            <w:shd w:val="clear" w:color="auto" w:fill="FFFFFF"/>
            <w:noWrap w:val="0"/>
            <w:vAlign w:val="center"/>
          </w:tcPr>
          <w:p w14:paraId="76044776">
            <w:pPr>
              <w:jc w:val="center"/>
              <w:rPr>
                <w:rFonts w:ascii="宋体" w:hAnsi="宋体"/>
                <w:szCs w:val="21"/>
                <w:highlight w:val="none"/>
              </w:rPr>
            </w:pPr>
            <w:r>
              <w:rPr>
                <w:rFonts w:hint="eastAsia" w:ascii="宋体" w:hAnsi="宋体"/>
                <w:highlight w:val="none"/>
                <w:lang w:val="en-US" w:eastAsia="zh-CN"/>
              </w:rPr>
              <w:t>10</w:t>
            </w:r>
            <w:r>
              <w:rPr>
                <w:rFonts w:hint="eastAsia" w:ascii="宋体" w:hAnsi="宋体"/>
                <w:highlight w:val="none"/>
              </w:rPr>
              <w:t>分</w:t>
            </w:r>
          </w:p>
        </w:tc>
        <w:tc>
          <w:tcPr>
            <w:tcW w:w="5400" w:type="dxa"/>
            <w:tcBorders>
              <w:top w:val="single" w:color="auto" w:sz="4" w:space="0"/>
              <w:left w:val="single" w:color="000000" w:sz="8" w:space="0"/>
              <w:right w:val="single" w:color="auto" w:sz="4" w:space="0"/>
            </w:tcBorders>
            <w:shd w:val="clear" w:color="auto" w:fill="FFFFFF"/>
            <w:noWrap w:val="0"/>
            <w:vAlign w:val="center"/>
          </w:tcPr>
          <w:p w14:paraId="60BCE916">
            <w:pPr>
              <w:widowControl/>
              <w:jc w:val="left"/>
              <w:rPr>
                <w:rFonts w:ascii="宋体" w:hAnsi="宋体" w:eastAsia="宋体" w:cs="宋体"/>
                <w:kern w:val="2"/>
                <w:sz w:val="21"/>
                <w:szCs w:val="21"/>
                <w:lang w:val="en-US" w:eastAsia="zh-CN" w:bidi="ar-SA"/>
              </w:rPr>
            </w:pPr>
            <w:r>
              <w:rPr>
                <w:rFonts w:hint="eastAsia" w:ascii="宋体" w:hAnsi="宋体"/>
                <w:kern w:val="0"/>
                <w:szCs w:val="21"/>
              </w:rPr>
              <w:t>各专业人员配备齐全，人员资格较高</w:t>
            </w:r>
          </w:p>
        </w:tc>
        <w:tc>
          <w:tcPr>
            <w:tcW w:w="1331"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489578C3">
            <w:pPr>
              <w:spacing w:line="300" w:lineRule="auto"/>
              <w:jc w:val="center"/>
              <w:rPr>
                <w:rFonts w:ascii="宋体" w:hAnsi="宋体" w:eastAsia="宋体" w:cs="宋体"/>
                <w:kern w:val="2"/>
                <w:sz w:val="21"/>
                <w:szCs w:val="21"/>
                <w:lang w:val="en-US" w:eastAsia="zh-CN" w:bidi="ar-SA"/>
              </w:rPr>
            </w:pPr>
            <w:r>
              <w:rPr>
                <w:rFonts w:hint="eastAsia" w:ascii="宋体" w:hAnsi="宋体"/>
                <w:szCs w:val="21"/>
                <w:lang w:val="en-US" w:eastAsia="zh-CN"/>
              </w:rPr>
              <w:t>8-10</w:t>
            </w:r>
            <w:r>
              <w:rPr>
                <w:rFonts w:hint="eastAsia" w:ascii="宋体" w:hAnsi="宋体"/>
                <w:szCs w:val="21"/>
              </w:rPr>
              <w:t>分</w:t>
            </w:r>
          </w:p>
        </w:tc>
      </w:tr>
      <w:tr w14:paraId="60397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21F2A3DE">
            <w:pPr>
              <w:tabs>
                <w:tab w:val="left" w:pos="360"/>
              </w:tabs>
              <w:jc w:val="center"/>
              <w:rPr>
                <w:rFonts w:ascii="宋体" w:hAnsi="宋体"/>
                <w:szCs w:val="21"/>
              </w:rPr>
            </w:pPr>
          </w:p>
        </w:tc>
        <w:tc>
          <w:tcPr>
            <w:tcW w:w="1372" w:type="dxa"/>
            <w:vMerge w:val="continue"/>
            <w:tcBorders>
              <w:left w:val="single" w:color="000000" w:sz="8" w:space="0"/>
              <w:right w:val="single" w:color="000000" w:sz="8" w:space="0"/>
            </w:tcBorders>
            <w:shd w:val="clear" w:color="auto" w:fill="FFFFFF"/>
            <w:noWrap w:val="0"/>
            <w:vAlign w:val="center"/>
          </w:tcPr>
          <w:p w14:paraId="34D46793">
            <w:pPr>
              <w:tabs>
                <w:tab w:val="left" w:pos="360"/>
                <w:tab w:val="left" w:pos="498"/>
              </w:tabs>
              <w:jc w:val="center"/>
              <w:rPr>
                <w:rFonts w:ascii="宋体" w:hAnsi="宋体"/>
              </w:rPr>
            </w:pPr>
          </w:p>
        </w:tc>
        <w:tc>
          <w:tcPr>
            <w:tcW w:w="778" w:type="dxa"/>
            <w:vMerge w:val="continue"/>
            <w:tcBorders>
              <w:left w:val="single" w:color="000000" w:sz="8" w:space="0"/>
              <w:right w:val="single" w:color="000000" w:sz="8" w:space="0"/>
            </w:tcBorders>
            <w:shd w:val="clear" w:color="auto" w:fill="FFFFFF"/>
            <w:noWrap w:val="0"/>
            <w:vAlign w:val="center"/>
          </w:tcPr>
          <w:p w14:paraId="6508514F">
            <w:pPr>
              <w:tabs>
                <w:tab w:val="left" w:pos="360"/>
              </w:tabs>
              <w:jc w:val="center"/>
              <w:rPr>
                <w:rFonts w:ascii="宋体" w:hAnsi="宋体" w:cs="Microsoft JhengHei"/>
                <w:spacing w:val="-3"/>
                <w:szCs w:val="21"/>
                <w:highlight w:val="yellow"/>
              </w:rPr>
            </w:pPr>
          </w:p>
        </w:tc>
        <w:tc>
          <w:tcPr>
            <w:tcW w:w="5400" w:type="dxa"/>
            <w:tcBorders>
              <w:top w:val="single" w:color="auto" w:sz="4" w:space="0"/>
              <w:left w:val="single" w:color="000000" w:sz="8" w:space="0"/>
              <w:bottom w:val="single" w:color="auto" w:sz="4" w:space="0"/>
              <w:right w:val="single" w:color="auto" w:sz="4" w:space="0"/>
            </w:tcBorders>
            <w:shd w:val="clear" w:color="auto" w:fill="FFFFFF"/>
            <w:noWrap w:val="0"/>
            <w:vAlign w:val="center"/>
          </w:tcPr>
          <w:p w14:paraId="70FBF645">
            <w:pPr>
              <w:widowControl/>
              <w:jc w:val="left"/>
              <w:rPr>
                <w:rFonts w:ascii="宋体" w:hAnsi="宋体" w:eastAsia="宋体" w:cs="宋体"/>
                <w:kern w:val="2"/>
                <w:sz w:val="21"/>
                <w:szCs w:val="21"/>
                <w:lang w:val="en-US" w:eastAsia="zh-CN" w:bidi="ar-SA"/>
              </w:rPr>
            </w:pPr>
            <w:r>
              <w:rPr>
                <w:rFonts w:hint="eastAsia" w:ascii="宋体" w:hAnsi="宋体"/>
                <w:kern w:val="0"/>
                <w:szCs w:val="21"/>
              </w:rPr>
              <w:t>各专业人员配备基本齐全，人员资格一般</w:t>
            </w:r>
          </w:p>
        </w:tc>
        <w:tc>
          <w:tcPr>
            <w:tcW w:w="1331"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6DC73832">
            <w:pPr>
              <w:spacing w:line="300" w:lineRule="auto"/>
              <w:jc w:val="center"/>
              <w:rPr>
                <w:rFonts w:ascii="宋体" w:hAnsi="宋体" w:eastAsia="宋体" w:cs="宋体"/>
                <w:kern w:val="2"/>
                <w:sz w:val="21"/>
                <w:szCs w:val="21"/>
                <w:lang w:val="en-US" w:eastAsia="zh-CN" w:bidi="ar-SA"/>
              </w:rPr>
            </w:pPr>
            <w:r>
              <w:rPr>
                <w:rFonts w:hint="eastAsia" w:ascii="宋体" w:hAnsi="宋体"/>
                <w:szCs w:val="21"/>
                <w:lang w:val="en-US" w:eastAsia="zh-CN"/>
              </w:rPr>
              <w:t>4-7</w:t>
            </w:r>
            <w:r>
              <w:rPr>
                <w:rFonts w:hint="eastAsia" w:ascii="宋体" w:hAnsi="宋体"/>
                <w:szCs w:val="21"/>
              </w:rPr>
              <w:t>分</w:t>
            </w:r>
          </w:p>
        </w:tc>
      </w:tr>
      <w:tr w14:paraId="5EFD7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1FCD7500">
            <w:pPr>
              <w:tabs>
                <w:tab w:val="left" w:pos="360"/>
              </w:tabs>
              <w:jc w:val="center"/>
              <w:rPr>
                <w:rFonts w:ascii="宋体" w:hAnsi="宋体"/>
                <w:szCs w:val="21"/>
              </w:rPr>
            </w:pPr>
          </w:p>
        </w:tc>
        <w:tc>
          <w:tcPr>
            <w:tcW w:w="1372" w:type="dxa"/>
            <w:vMerge w:val="continue"/>
            <w:tcBorders>
              <w:left w:val="single" w:color="000000" w:sz="8" w:space="0"/>
              <w:right w:val="single" w:color="000000" w:sz="8" w:space="0"/>
            </w:tcBorders>
            <w:shd w:val="clear" w:color="auto" w:fill="FFFFFF"/>
            <w:noWrap w:val="0"/>
            <w:vAlign w:val="center"/>
          </w:tcPr>
          <w:p w14:paraId="18045152">
            <w:pPr>
              <w:tabs>
                <w:tab w:val="left" w:pos="360"/>
                <w:tab w:val="left" w:pos="498"/>
              </w:tabs>
              <w:jc w:val="center"/>
              <w:rPr>
                <w:rFonts w:ascii="宋体" w:hAnsi="宋体"/>
              </w:rPr>
            </w:pPr>
          </w:p>
        </w:tc>
        <w:tc>
          <w:tcPr>
            <w:tcW w:w="778" w:type="dxa"/>
            <w:vMerge w:val="continue"/>
            <w:tcBorders>
              <w:left w:val="single" w:color="000000" w:sz="8" w:space="0"/>
              <w:right w:val="single" w:color="000000" w:sz="8" w:space="0"/>
            </w:tcBorders>
            <w:shd w:val="clear" w:color="auto" w:fill="FFFFFF"/>
            <w:noWrap w:val="0"/>
            <w:vAlign w:val="center"/>
          </w:tcPr>
          <w:p w14:paraId="73EA74F5">
            <w:pPr>
              <w:tabs>
                <w:tab w:val="left" w:pos="360"/>
              </w:tabs>
              <w:jc w:val="center"/>
              <w:rPr>
                <w:rFonts w:ascii="宋体" w:hAnsi="宋体" w:cs="Microsoft JhengHei"/>
                <w:spacing w:val="-3"/>
                <w:szCs w:val="21"/>
                <w:highlight w:val="yellow"/>
              </w:rPr>
            </w:pPr>
          </w:p>
        </w:tc>
        <w:tc>
          <w:tcPr>
            <w:tcW w:w="5400" w:type="dxa"/>
            <w:tcBorders>
              <w:top w:val="single" w:color="auto" w:sz="4" w:space="0"/>
              <w:left w:val="single" w:color="000000" w:sz="8" w:space="0"/>
              <w:right w:val="single" w:color="auto" w:sz="4" w:space="0"/>
            </w:tcBorders>
            <w:shd w:val="clear" w:color="auto" w:fill="FFFFFF"/>
            <w:noWrap w:val="0"/>
            <w:vAlign w:val="center"/>
          </w:tcPr>
          <w:p w14:paraId="7BEC8CC8">
            <w:pPr>
              <w:widowControl/>
              <w:jc w:val="left"/>
              <w:rPr>
                <w:rFonts w:ascii="宋体" w:hAnsi="宋体" w:eastAsia="宋体" w:cs="宋体"/>
                <w:kern w:val="2"/>
                <w:sz w:val="21"/>
                <w:szCs w:val="21"/>
                <w:lang w:val="en-US" w:eastAsia="zh-CN" w:bidi="ar-SA"/>
              </w:rPr>
            </w:pPr>
            <w:r>
              <w:rPr>
                <w:rFonts w:hint="eastAsia" w:ascii="宋体" w:hAnsi="宋体"/>
                <w:kern w:val="0"/>
                <w:szCs w:val="21"/>
              </w:rPr>
              <w:t>各专业人员配备一般，人员资格较低</w:t>
            </w:r>
          </w:p>
        </w:tc>
        <w:tc>
          <w:tcPr>
            <w:tcW w:w="1331" w:type="dxa"/>
            <w:tcBorders>
              <w:top w:val="single" w:color="auto" w:sz="4" w:space="0"/>
              <w:left w:val="single" w:color="auto" w:sz="4" w:space="0"/>
              <w:right w:val="single" w:color="000000" w:sz="8" w:space="0"/>
            </w:tcBorders>
            <w:shd w:val="clear" w:color="auto" w:fill="FFFFFF"/>
            <w:noWrap w:val="0"/>
            <w:vAlign w:val="center"/>
          </w:tcPr>
          <w:p w14:paraId="67E3241F">
            <w:pPr>
              <w:spacing w:line="300" w:lineRule="auto"/>
              <w:jc w:val="center"/>
              <w:rPr>
                <w:rFonts w:ascii="宋体" w:hAnsi="宋体" w:eastAsia="宋体" w:cs="宋体"/>
                <w:kern w:val="2"/>
                <w:sz w:val="21"/>
                <w:szCs w:val="21"/>
                <w:lang w:val="en-US" w:eastAsia="zh-CN" w:bidi="ar-SA"/>
              </w:rPr>
            </w:pPr>
            <w:r>
              <w:rPr>
                <w:rFonts w:hint="eastAsia" w:ascii="宋体" w:hAnsi="宋体"/>
                <w:szCs w:val="21"/>
                <w:lang w:val="en-US" w:eastAsia="zh-CN"/>
              </w:rPr>
              <w:t>0-3</w:t>
            </w:r>
            <w:r>
              <w:rPr>
                <w:rFonts w:hint="eastAsia" w:ascii="宋体" w:hAnsi="宋体"/>
                <w:szCs w:val="21"/>
              </w:rPr>
              <w:t>分</w:t>
            </w:r>
          </w:p>
        </w:tc>
      </w:tr>
      <w:tr w14:paraId="433B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top w:val="single" w:color="000000" w:sz="8" w:space="0"/>
              <w:left w:val="single" w:color="000000" w:sz="8" w:space="0"/>
              <w:right w:val="single" w:color="000000" w:sz="8" w:space="0"/>
            </w:tcBorders>
            <w:shd w:val="clear" w:color="auto" w:fill="FFFFFF"/>
            <w:noWrap w:val="0"/>
            <w:vAlign w:val="center"/>
          </w:tcPr>
          <w:p w14:paraId="6C3BDB7A">
            <w:pPr>
              <w:jc w:val="center"/>
              <w:rPr>
                <w:rFonts w:ascii="宋体" w:hAnsi="宋体"/>
                <w:color w:val="auto"/>
                <w:szCs w:val="21"/>
              </w:rPr>
            </w:pPr>
            <w:r>
              <w:rPr>
                <w:rFonts w:hint="eastAsia" w:ascii="宋体" w:hAnsi="宋体"/>
                <w:color w:val="auto"/>
                <w:szCs w:val="21"/>
              </w:rPr>
              <w:t>4</w:t>
            </w:r>
          </w:p>
        </w:tc>
        <w:tc>
          <w:tcPr>
            <w:tcW w:w="1372" w:type="dxa"/>
            <w:vMerge w:val="restart"/>
            <w:tcBorders>
              <w:top w:val="single" w:color="000000" w:sz="8" w:space="0"/>
              <w:left w:val="single" w:color="000000" w:sz="8" w:space="0"/>
              <w:right w:val="single" w:color="000000" w:sz="8" w:space="0"/>
            </w:tcBorders>
            <w:shd w:val="clear" w:color="auto" w:fill="FFFFFF"/>
            <w:noWrap w:val="0"/>
            <w:vAlign w:val="center"/>
          </w:tcPr>
          <w:p w14:paraId="40687305">
            <w:pPr>
              <w:jc w:val="center"/>
              <w:rPr>
                <w:rFonts w:hint="default" w:ascii="宋体" w:hAnsi="宋体" w:eastAsia="宋体"/>
                <w:color w:val="auto"/>
                <w:sz w:val="21"/>
                <w:lang w:val="en-US" w:eastAsia="zh-CN"/>
              </w:rPr>
            </w:pPr>
            <w:r>
              <w:rPr>
                <w:rFonts w:hint="eastAsia" w:ascii="宋体" w:hAnsi="宋体"/>
                <w:color w:val="auto"/>
                <w:sz w:val="21"/>
                <w:lang w:eastAsia="zh-CN"/>
              </w:rPr>
              <w:t>施工</w:t>
            </w:r>
            <w:r>
              <w:rPr>
                <w:rFonts w:hint="eastAsia" w:ascii="宋体" w:hAnsi="宋体"/>
                <w:color w:val="auto"/>
                <w:sz w:val="21"/>
              </w:rPr>
              <w:t>进度计划及保障措施</w:t>
            </w:r>
          </w:p>
        </w:tc>
        <w:tc>
          <w:tcPr>
            <w:tcW w:w="778" w:type="dxa"/>
            <w:vMerge w:val="restart"/>
            <w:tcBorders>
              <w:top w:val="single" w:color="000000" w:sz="8" w:space="0"/>
              <w:left w:val="single" w:color="000000" w:sz="8" w:space="0"/>
              <w:right w:val="single" w:color="000000" w:sz="8" w:space="0"/>
            </w:tcBorders>
            <w:shd w:val="clear" w:color="auto" w:fill="FFFFFF"/>
            <w:noWrap w:val="0"/>
            <w:vAlign w:val="center"/>
          </w:tcPr>
          <w:p w14:paraId="5F114EBE">
            <w:pPr>
              <w:jc w:val="center"/>
              <w:rPr>
                <w:rFonts w:ascii="宋体" w:hAnsi="宋体"/>
                <w:color w:val="auto"/>
                <w:szCs w:val="21"/>
                <w:highlight w:val="yellow"/>
              </w:rPr>
            </w:pPr>
            <w:r>
              <w:rPr>
                <w:rFonts w:hint="eastAsia" w:ascii="宋体" w:hAnsi="宋体"/>
                <w:color w:val="auto"/>
                <w:highlight w:val="none"/>
                <w:lang w:val="en-US" w:eastAsia="zh-CN"/>
              </w:rPr>
              <w:t>10分</w:t>
            </w:r>
          </w:p>
        </w:tc>
        <w:tc>
          <w:tcPr>
            <w:tcW w:w="5400" w:type="dxa"/>
            <w:tcBorders>
              <w:top w:val="single" w:color="000000" w:sz="8" w:space="0"/>
              <w:left w:val="single" w:color="000000" w:sz="8" w:space="0"/>
              <w:bottom w:val="single" w:color="000000" w:sz="8" w:space="0"/>
              <w:right w:val="single" w:color="auto" w:sz="4" w:space="0"/>
            </w:tcBorders>
            <w:shd w:val="clear" w:color="auto" w:fill="FFFFFF"/>
            <w:noWrap w:val="0"/>
            <w:vAlign w:val="center"/>
          </w:tcPr>
          <w:p w14:paraId="6F5BB8F7">
            <w:pPr>
              <w:spacing w:line="300" w:lineRule="auto"/>
              <w:rPr>
                <w:rFonts w:ascii="宋体" w:hAnsi="宋体"/>
                <w:szCs w:val="21"/>
              </w:rPr>
            </w:pPr>
            <w:r>
              <w:rPr>
                <w:rFonts w:hint="eastAsia" w:ascii="宋体" w:hAnsi="宋体"/>
                <w:szCs w:val="21"/>
              </w:rPr>
              <w:t>科学、合理、完善，可行</w:t>
            </w:r>
          </w:p>
        </w:tc>
        <w:tc>
          <w:tcPr>
            <w:tcW w:w="1331" w:type="dxa"/>
            <w:tcBorders>
              <w:top w:val="single" w:color="000000" w:sz="8" w:space="0"/>
              <w:left w:val="single" w:color="auto" w:sz="4" w:space="0"/>
              <w:bottom w:val="single" w:color="000000" w:sz="8" w:space="0"/>
              <w:right w:val="single" w:color="000000" w:sz="8" w:space="0"/>
            </w:tcBorders>
            <w:shd w:val="clear" w:color="auto" w:fill="FFFFFF"/>
            <w:noWrap w:val="0"/>
            <w:vAlign w:val="center"/>
          </w:tcPr>
          <w:p w14:paraId="223F6F65">
            <w:pPr>
              <w:spacing w:line="300" w:lineRule="auto"/>
              <w:jc w:val="center"/>
              <w:rPr>
                <w:rFonts w:ascii="宋体" w:hAnsi="宋体"/>
                <w:szCs w:val="21"/>
              </w:rPr>
            </w:pPr>
            <w:r>
              <w:rPr>
                <w:rFonts w:hint="eastAsia" w:ascii="宋体" w:hAnsi="宋体"/>
                <w:szCs w:val="21"/>
                <w:lang w:val="en-US" w:eastAsia="zh-CN"/>
              </w:rPr>
              <w:t>8-10</w:t>
            </w:r>
            <w:r>
              <w:rPr>
                <w:rFonts w:hint="eastAsia" w:ascii="宋体" w:hAnsi="宋体"/>
                <w:szCs w:val="21"/>
              </w:rPr>
              <w:t>分</w:t>
            </w:r>
          </w:p>
        </w:tc>
      </w:tr>
      <w:tr w14:paraId="54CE9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54D137CB">
            <w:pPr>
              <w:tabs>
                <w:tab w:val="left" w:pos="360"/>
              </w:tabs>
              <w:jc w:val="center"/>
              <w:rPr>
                <w:rFonts w:ascii="宋体" w:hAnsi="宋体"/>
                <w:color w:val="auto"/>
                <w:szCs w:val="21"/>
              </w:rPr>
            </w:pPr>
          </w:p>
        </w:tc>
        <w:tc>
          <w:tcPr>
            <w:tcW w:w="1372" w:type="dxa"/>
            <w:vMerge w:val="continue"/>
            <w:tcBorders>
              <w:top w:val="single" w:color="000000" w:sz="8" w:space="0"/>
              <w:left w:val="single" w:color="000000" w:sz="8" w:space="0"/>
              <w:right w:val="single" w:color="000000" w:sz="8" w:space="0"/>
            </w:tcBorders>
            <w:shd w:val="clear" w:color="auto" w:fill="FFFFFF"/>
            <w:noWrap w:val="0"/>
            <w:vAlign w:val="center"/>
          </w:tcPr>
          <w:p w14:paraId="2E029057">
            <w:pPr>
              <w:jc w:val="center"/>
              <w:rPr>
                <w:rFonts w:ascii="宋体" w:hAnsi="宋体"/>
                <w:color w:val="auto"/>
                <w:szCs w:val="21"/>
              </w:rPr>
            </w:pPr>
          </w:p>
        </w:tc>
        <w:tc>
          <w:tcPr>
            <w:tcW w:w="778" w:type="dxa"/>
            <w:vMerge w:val="continue"/>
            <w:tcBorders>
              <w:top w:val="single" w:color="000000" w:sz="8" w:space="0"/>
              <w:left w:val="single" w:color="000000" w:sz="8" w:space="0"/>
              <w:right w:val="single" w:color="000000" w:sz="8" w:space="0"/>
            </w:tcBorders>
            <w:shd w:val="clear" w:color="auto" w:fill="FFFFFF"/>
            <w:noWrap w:val="0"/>
            <w:vAlign w:val="center"/>
          </w:tcPr>
          <w:p w14:paraId="09E68E7D">
            <w:pPr>
              <w:tabs>
                <w:tab w:val="left" w:pos="360"/>
              </w:tabs>
              <w:jc w:val="center"/>
              <w:rPr>
                <w:rFonts w:ascii="宋体" w:hAnsi="宋体"/>
                <w:color w:val="auto"/>
                <w:szCs w:val="21"/>
                <w:highlight w:val="yellow"/>
              </w:rPr>
            </w:pP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6BBDB6">
            <w:pPr>
              <w:spacing w:line="300" w:lineRule="auto"/>
              <w:rPr>
                <w:rFonts w:ascii="宋体" w:hAnsi="宋体"/>
                <w:szCs w:val="21"/>
              </w:rPr>
            </w:pPr>
            <w:r>
              <w:rPr>
                <w:rFonts w:hint="eastAsia" w:ascii="宋体" w:hAnsi="宋体"/>
                <w:szCs w:val="21"/>
              </w:rPr>
              <w:t xml:space="preserve">较科学合理 </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158AB0">
            <w:pPr>
              <w:spacing w:line="300" w:lineRule="auto"/>
              <w:jc w:val="center"/>
              <w:rPr>
                <w:rFonts w:ascii="宋体" w:hAnsi="宋体"/>
                <w:szCs w:val="21"/>
              </w:rPr>
            </w:pPr>
            <w:r>
              <w:rPr>
                <w:rFonts w:hint="eastAsia" w:ascii="宋体" w:hAnsi="宋体"/>
                <w:szCs w:val="21"/>
                <w:lang w:val="en-US" w:eastAsia="zh-CN"/>
              </w:rPr>
              <w:t>4-7</w:t>
            </w:r>
            <w:r>
              <w:rPr>
                <w:rFonts w:hint="eastAsia" w:ascii="宋体" w:hAnsi="宋体"/>
                <w:szCs w:val="21"/>
              </w:rPr>
              <w:t>分</w:t>
            </w:r>
          </w:p>
        </w:tc>
      </w:tr>
      <w:tr w14:paraId="64BD2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bottom w:val="single" w:color="auto" w:sz="4" w:space="0"/>
              <w:right w:val="single" w:color="000000" w:sz="8" w:space="0"/>
            </w:tcBorders>
            <w:shd w:val="clear" w:color="auto" w:fill="FFFFFF"/>
            <w:noWrap w:val="0"/>
            <w:vAlign w:val="center"/>
          </w:tcPr>
          <w:p w14:paraId="0D4A2455">
            <w:pPr>
              <w:tabs>
                <w:tab w:val="left" w:pos="360"/>
              </w:tabs>
              <w:jc w:val="center"/>
              <w:rPr>
                <w:rFonts w:ascii="宋体" w:hAnsi="宋体"/>
                <w:color w:val="auto"/>
                <w:szCs w:val="21"/>
              </w:rPr>
            </w:pPr>
          </w:p>
        </w:tc>
        <w:tc>
          <w:tcPr>
            <w:tcW w:w="1372" w:type="dxa"/>
            <w:vMerge w:val="continue"/>
            <w:tcBorders>
              <w:left w:val="single" w:color="000000" w:sz="8" w:space="0"/>
              <w:bottom w:val="single" w:color="auto" w:sz="4" w:space="0"/>
              <w:right w:val="single" w:color="000000" w:sz="8" w:space="0"/>
            </w:tcBorders>
            <w:shd w:val="clear" w:color="auto" w:fill="FFFFFF"/>
            <w:noWrap w:val="0"/>
            <w:vAlign w:val="center"/>
          </w:tcPr>
          <w:p w14:paraId="706EFE87">
            <w:pPr>
              <w:jc w:val="center"/>
              <w:rPr>
                <w:rFonts w:ascii="宋体" w:hAnsi="宋体"/>
                <w:color w:val="auto"/>
                <w:szCs w:val="21"/>
              </w:rPr>
            </w:pPr>
          </w:p>
        </w:tc>
        <w:tc>
          <w:tcPr>
            <w:tcW w:w="778" w:type="dxa"/>
            <w:vMerge w:val="continue"/>
            <w:tcBorders>
              <w:left w:val="single" w:color="000000" w:sz="8" w:space="0"/>
              <w:bottom w:val="single" w:color="000000" w:sz="8" w:space="0"/>
              <w:right w:val="single" w:color="000000" w:sz="8" w:space="0"/>
            </w:tcBorders>
            <w:shd w:val="clear" w:color="auto" w:fill="FFFFFF"/>
            <w:noWrap w:val="0"/>
            <w:vAlign w:val="center"/>
          </w:tcPr>
          <w:p w14:paraId="36449436">
            <w:pPr>
              <w:jc w:val="center"/>
              <w:rPr>
                <w:rFonts w:ascii="宋体" w:hAnsi="宋体"/>
                <w:color w:val="auto"/>
                <w:szCs w:val="21"/>
                <w:highlight w:val="yellow"/>
              </w:rPr>
            </w:pP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4363EA93">
            <w:pPr>
              <w:spacing w:line="300" w:lineRule="auto"/>
              <w:rPr>
                <w:rFonts w:ascii="宋体" w:hAnsi="宋体"/>
                <w:szCs w:val="21"/>
              </w:rPr>
            </w:pPr>
            <w:r>
              <w:rPr>
                <w:rFonts w:hint="eastAsia" w:ascii="宋体" w:hAnsi="宋体"/>
                <w:szCs w:val="21"/>
              </w:rPr>
              <w:t>一般</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9A3C67C">
            <w:pPr>
              <w:spacing w:line="300" w:lineRule="auto"/>
              <w:jc w:val="center"/>
              <w:rPr>
                <w:rFonts w:ascii="宋体" w:hAnsi="宋体"/>
                <w:szCs w:val="21"/>
              </w:rPr>
            </w:pPr>
            <w:r>
              <w:rPr>
                <w:rFonts w:hint="eastAsia" w:ascii="宋体" w:hAnsi="宋体"/>
                <w:szCs w:val="21"/>
                <w:lang w:val="en-US" w:eastAsia="zh-CN"/>
              </w:rPr>
              <w:t>0-3</w:t>
            </w:r>
            <w:r>
              <w:rPr>
                <w:rFonts w:hint="eastAsia" w:ascii="宋体" w:hAnsi="宋体"/>
                <w:szCs w:val="21"/>
              </w:rPr>
              <w:t>分</w:t>
            </w:r>
          </w:p>
        </w:tc>
      </w:tr>
      <w:tr w14:paraId="75F60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top w:val="single" w:color="auto" w:sz="4" w:space="0"/>
              <w:left w:val="single" w:color="000000" w:sz="8" w:space="0"/>
              <w:right w:val="single" w:color="000000" w:sz="8" w:space="0"/>
            </w:tcBorders>
            <w:shd w:val="clear" w:color="auto" w:fill="FFFFFF"/>
            <w:noWrap w:val="0"/>
            <w:vAlign w:val="center"/>
          </w:tcPr>
          <w:p w14:paraId="62E7A21F">
            <w:pPr>
              <w:tabs>
                <w:tab w:val="left" w:pos="360"/>
              </w:tabs>
              <w:jc w:val="center"/>
              <w:rPr>
                <w:rFonts w:ascii="宋体" w:hAnsi="宋体"/>
                <w:color w:val="auto"/>
                <w:szCs w:val="21"/>
              </w:rPr>
            </w:pPr>
            <w:r>
              <w:rPr>
                <w:rFonts w:hint="eastAsia" w:ascii="宋体" w:hAnsi="宋体"/>
                <w:color w:val="auto"/>
                <w:szCs w:val="21"/>
              </w:rPr>
              <w:t>5</w:t>
            </w:r>
          </w:p>
        </w:tc>
        <w:tc>
          <w:tcPr>
            <w:tcW w:w="1372" w:type="dxa"/>
            <w:vMerge w:val="restart"/>
            <w:tcBorders>
              <w:top w:val="single" w:color="auto" w:sz="4" w:space="0"/>
              <w:left w:val="single" w:color="000000" w:sz="8" w:space="0"/>
              <w:bottom w:val="single" w:color="auto" w:sz="4" w:space="0"/>
              <w:right w:val="single" w:color="000000" w:sz="8" w:space="0"/>
            </w:tcBorders>
            <w:shd w:val="clear" w:color="auto" w:fill="FFFFFF"/>
            <w:noWrap w:val="0"/>
            <w:vAlign w:val="center"/>
          </w:tcPr>
          <w:p w14:paraId="7679BA14">
            <w:pPr>
              <w:jc w:val="center"/>
              <w:rPr>
                <w:rFonts w:hint="default" w:ascii="宋体" w:hAnsi="宋体" w:eastAsia="宋体"/>
                <w:color w:val="auto"/>
                <w:sz w:val="21"/>
                <w:highlight w:val="none"/>
                <w:lang w:val="en-US" w:eastAsia="zh-CN"/>
              </w:rPr>
            </w:pPr>
            <w:r>
              <w:rPr>
                <w:rFonts w:hint="eastAsia" w:ascii="宋体" w:hAnsi="宋体"/>
                <w:color w:val="auto"/>
                <w:kern w:val="0"/>
                <w:sz w:val="24"/>
                <w:szCs w:val="24"/>
                <w:highlight w:val="none"/>
                <w:shd w:val="clear" w:color="auto" w:fill="FFFFFF"/>
                <w:lang w:val="en-US" w:eastAsia="zh-CN"/>
              </w:rPr>
              <w:t>注水打压实施方案</w:t>
            </w:r>
          </w:p>
        </w:tc>
        <w:tc>
          <w:tcPr>
            <w:tcW w:w="778" w:type="dxa"/>
            <w:vMerge w:val="restart"/>
            <w:tcBorders>
              <w:left w:val="single" w:color="000000" w:sz="8" w:space="0"/>
              <w:right w:val="single" w:color="000000" w:sz="8" w:space="0"/>
            </w:tcBorders>
            <w:shd w:val="clear" w:color="auto" w:fill="FFFFFF"/>
            <w:noWrap w:val="0"/>
            <w:vAlign w:val="center"/>
          </w:tcPr>
          <w:p w14:paraId="3946F51F">
            <w:pPr>
              <w:tabs>
                <w:tab w:val="left" w:pos="360"/>
              </w:tabs>
              <w:jc w:val="center"/>
              <w:rPr>
                <w:rFonts w:ascii="宋体" w:hAnsi="宋体"/>
                <w:color w:val="auto"/>
                <w:szCs w:val="21"/>
                <w:highlight w:val="none"/>
              </w:rPr>
            </w:pPr>
            <w:r>
              <w:rPr>
                <w:rFonts w:hint="eastAsia" w:ascii="宋体" w:hAnsi="宋体" w:cs="Microsoft JhengHei"/>
                <w:color w:val="auto"/>
                <w:spacing w:val="-3"/>
                <w:szCs w:val="21"/>
                <w:highlight w:val="none"/>
                <w:lang w:val="en-US" w:eastAsia="zh-CN"/>
              </w:rPr>
              <w:t>10</w:t>
            </w:r>
            <w:r>
              <w:rPr>
                <w:rFonts w:hint="eastAsia" w:ascii="宋体" w:hAnsi="宋体" w:cs="Microsoft JhengHei"/>
                <w:color w:val="auto"/>
                <w:spacing w:val="-3"/>
                <w:szCs w:val="21"/>
                <w:highlight w:val="none"/>
              </w:rPr>
              <w:t>分</w:t>
            </w: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E88E921">
            <w:pPr>
              <w:spacing w:line="300" w:lineRule="auto"/>
              <w:rPr>
                <w:rFonts w:ascii="宋体" w:hAnsi="宋体"/>
                <w:szCs w:val="21"/>
              </w:rPr>
            </w:pPr>
            <w:r>
              <w:rPr>
                <w:rFonts w:hint="eastAsia" w:ascii="宋体" w:hAnsi="宋体"/>
                <w:szCs w:val="21"/>
              </w:rPr>
              <w:t>科学、合理、完善，可行</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5C7BC3A">
            <w:pPr>
              <w:spacing w:line="300" w:lineRule="auto"/>
              <w:jc w:val="center"/>
              <w:rPr>
                <w:rFonts w:ascii="宋体" w:hAnsi="宋体"/>
                <w:szCs w:val="21"/>
              </w:rPr>
            </w:pPr>
            <w:r>
              <w:rPr>
                <w:rFonts w:hint="eastAsia" w:ascii="宋体" w:hAnsi="宋体"/>
                <w:szCs w:val="21"/>
                <w:lang w:val="en-US" w:eastAsia="zh-CN"/>
              </w:rPr>
              <w:t>8-10</w:t>
            </w:r>
            <w:r>
              <w:rPr>
                <w:rFonts w:hint="eastAsia" w:ascii="宋体" w:hAnsi="宋体"/>
                <w:szCs w:val="21"/>
              </w:rPr>
              <w:t>分</w:t>
            </w:r>
          </w:p>
        </w:tc>
      </w:tr>
      <w:tr w14:paraId="2638A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1F84887B">
            <w:pPr>
              <w:tabs>
                <w:tab w:val="left" w:pos="360"/>
              </w:tabs>
              <w:jc w:val="center"/>
              <w:rPr>
                <w:rFonts w:ascii="宋体" w:hAnsi="宋体"/>
                <w:color w:val="auto"/>
                <w:szCs w:val="21"/>
              </w:rPr>
            </w:pPr>
          </w:p>
        </w:tc>
        <w:tc>
          <w:tcPr>
            <w:tcW w:w="1372" w:type="dxa"/>
            <w:vMerge w:val="continue"/>
            <w:tcBorders>
              <w:top w:val="single" w:color="auto" w:sz="4" w:space="0"/>
              <w:left w:val="single" w:color="000000" w:sz="8" w:space="0"/>
              <w:bottom w:val="single" w:color="auto" w:sz="4" w:space="0"/>
              <w:right w:val="single" w:color="000000" w:sz="8" w:space="0"/>
            </w:tcBorders>
            <w:shd w:val="clear" w:color="auto" w:fill="FFFFFF"/>
            <w:noWrap w:val="0"/>
            <w:vAlign w:val="center"/>
          </w:tcPr>
          <w:p w14:paraId="0DD6EC13">
            <w:pPr>
              <w:jc w:val="center"/>
              <w:rPr>
                <w:rFonts w:ascii="宋体" w:hAnsi="宋体"/>
                <w:color w:val="auto"/>
                <w:kern w:val="0"/>
                <w:lang w:val="zh-CN" w:bidi="zh-CN"/>
              </w:rPr>
            </w:pPr>
          </w:p>
        </w:tc>
        <w:tc>
          <w:tcPr>
            <w:tcW w:w="778" w:type="dxa"/>
            <w:vMerge w:val="continue"/>
            <w:tcBorders>
              <w:left w:val="single" w:color="000000" w:sz="8" w:space="0"/>
              <w:right w:val="single" w:color="000000" w:sz="8" w:space="0"/>
            </w:tcBorders>
            <w:shd w:val="clear" w:color="auto" w:fill="FFFFFF"/>
            <w:noWrap w:val="0"/>
            <w:vAlign w:val="center"/>
          </w:tcPr>
          <w:p w14:paraId="537D0F1E">
            <w:pPr>
              <w:jc w:val="center"/>
              <w:rPr>
                <w:rFonts w:ascii="宋体" w:hAnsi="宋体"/>
                <w:color w:val="auto"/>
                <w:szCs w:val="21"/>
                <w:highlight w:val="yellow"/>
              </w:rPr>
            </w:pP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2137B6A">
            <w:pPr>
              <w:spacing w:line="300" w:lineRule="auto"/>
              <w:rPr>
                <w:rFonts w:ascii="宋体" w:hAnsi="宋体"/>
                <w:szCs w:val="21"/>
              </w:rPr>
            </w:pPr>
            <w:r>
              <w:rPr>
                <w:rFonts w:hint="eastAsia" w:ascii="宋体" w:hAnsi="宋体"/>
                <w:szCs w:val="21"/>
              </w:rPr>
              <w:t xml:space="preserve">较科学合理 </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37D970">
            <w:pPr>
              <w:spacing w:line="300" w:lineRule="auto"/>
              <w:jc w:val="center"/>
              <w:rPr>
                <w:rFonts w:ascii="宋体" w:hAnsi="宋体"/>
                <w:szCs w:val="21"/>
              </w:rPr>
            </w:pPr>
            <w:r>
              <w:rPr>
                <w:rFonts w:hint="eastAsia" w:ascii="宋体" w:hAnsi="宋体"/>
                <w:szCs w:val="21"/>
                <w:lang w:val="en-US" w:eastAsia="zh-CN"/>
              </w:rPr>
              <w:t>4-7</w:t>
            </w:r>
            <w:r>
              <w:rPr>
                <w:rFonts w:hint="eastAsia" w:ascii="宋体" w:hAnsi="宋体"/>
                <w:szCs w:val="21"/>
              </w:rPr>
              <w:t>分</w:t>
            </w:r>
          </w:p>
        </w:tc>
      </w:tr>
      <w:tr w14:paraId="60EBC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bottom w:val="single" w:color="auto" w:sz="4" w:space="0"/>
              <w:right w:val="single" w:color="000000" w:sz="8" w:space="0"/>
            </w:tcBorders>
            <w:shd w:val="clear" w:color="auto" w:fill="FFFFFF"/>
            <w:noWrap w:val="0"/>
            <w:vAlign w:val="center"/>
          </w:tcPr>
          <w:p w14:paraId="4FF9654F">
            <w:pPr>
              <w:tabs>
                <w:tab w:val="left" w:pos="360"/>
              </w:tabs>
              <w:jc w:val="center"/>
              <w:rPr>
                <w:rFonts w:ascii="宋体" w:hAnsi="宋体"/>
                <w:color w:val="auto"/>
                <w:szCs w:val="21"/>
              </w:rPr>
            </w:pPr>
          </w:p>
        </w:tc>
        <w:tc>
          <w:tcPr>
            <w:tcW w:w="1372" w:type="dxa"/>
            <w:vMerge w:val="continue"/>
            <w:tcBorders>
              <w:top w:val="single" w:color="auto" w:sz="4" w:space="0"/>
              <w:left w:val="single" w:color="000000" w:sz="8" w:space="0"/>
              <w:bottom w:val="single" w:color="auto" w:sz="4" w:space="0"/>
              <w:right w:val="single" w:color="000000" w:sz="8" w:space="0"/>
            </w:tcBorders>
            <w:shd w:val="clear" w:color="auto" w:fill="FFFFFF"/>
            <w:noWrap w:val="0"/>
            <w:vAlign w:val="center"/>
          </w:tcPr>
          <w:p w14:paraId="3109AA4D">
            <w:pPr>
              <w:jc w:val="center"/>
              <w:rPr>
                <w:rFonts w:ascii="宋体" w:hAnsi="宋体"/>
                <w:color w:val="auto"/>
                <w:kern w:val="0"/>
                <w:lang w:val="zh-CN" w:bidi="zh-CN"/>
              </w:rPr>
            </w:pPr>
          </w:p>
        </w:tc>
        <w:tc>
          <w:tcPr>
            <w:tcW w:w="778" w:type="dxa"/>
            <w:vMerge w:val="continue"/>
            <w:tcBorders>
              <w:left w:val="single" w:color="000000" w:sz="8" w:space="0"/>
              <w:bottom w:val="single" w:color="000000" w:sz="8" w:space="0"/>
              <w:right w:val="single" w:color="000000" w:sz="8" w:space="0"/>
            </w:tcBorders>
            <w:shd w:val="clear" w:color="auto" w:fill="FFFFFF"/>
            <w:noWrap w:val="0"/>
            <w:vAlign w:val="center"/>
          </w:tcPr>
          <w:p w14:paraId="0C05DB92">
            <w:pPr>
              <w:jc w:val="center"/>
              <w:rPr>
                <w:rFonts w:ascii="宋体" w:hAnsi="宋体"/>
                <w:color w:val="auto"/>
                <w:szCs w:val="21"/>
                <w:highlight w:val="yellow"/>
              </w:rPr>
            </w:pP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59765F4D">
            <w:pPr>
              <w:spacing w:line="300" w:lineRule="auto"/>
              <w:rPr>
                <w:rFonts w:ascii="宋体" w:hAnsi="宋体"/>
                <w:szCs w:val="21"/>
              </w:rPr>
            </w:pPr>
            <w:r>
              <w:rPr>
                <w:rFonts w:hint="eastAsia" w:ascii="宋体" w:hAnsi="宋体"/>
                <w:szCs w:val="21"/>
              </w:rPr>
              <w:t>一般</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8F0254">
            <w:pPr>
              <w:spacing w:line="300" w:lineRule="auto"/>
              <w:jc w:val="center"/>
              <w:rPr>
                <w:rFonts w:ascii="宋体" w:hAnsi="宋体"/>
                <w:szCs w:val="21"/>
              </w:rPr>
            </w:pPr>
            <w:r>
              <w:rPr>
                <w:rFonts w:hint="eastAsia" w:ascii="宋体" w:hAnsi="宋体"/>
                <w:szCs w:val="21"/>
                <w:lang w:val="en-US" w:eastAsia="zh-CN"/>
              </w:rPr>
              <w:t>0-3</w:t>
            </w:r>
            <w:r>
              <w:rPr>
                <w:rFonts w:hint="eastAsia" w:ascii="宋体" w:hAnsi="宋体"/>
                <w:szCs w:val="21"/>
              </w:rPr>
              <w:t>分</w:t>
            </w:r>
          </w:p>
        </w:tc>
      </w:tr>
      <w:tr w14:paraId="7C200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left w:val="single" w:color="000000" w:sz="8" w:space="0"/>
              <w:right w:val="single" w:color="000000" w:sz="8" w:space="0"/>
            </w:tcBorders>
            <w:shd w:val="clear" w:color="auto" w:fill="FFFFFF"/>
            <w:noWrap w:val="0"/>
            <w:vAlign w:val="center"/>
          </w:tcPr>
          <w:p w14:paraId="53EA7064">
            <w:pPr>
              <w:tabs>
                <w:tab w:val="left" w:pos="360"/>
              </w:tabs>
              <w:jc w:val="center"/>
              <w:rPr>
                <w:rFonts w:hint="eastAsia" w:ascii="宋体" w:hAnsi="宋体" w:eastAsia="宋体"/>
                <w:color w:val="auto"/>
                <w:szCs w:val="21"/>
                <w:lang w:val="en-US" w:eastAsia="zh-CN"/>
              </w:rPr>
            </w:pPr>
            <w:r>
              <w:rPr>
                <w:rFonts w:hint="eastAsia" w:ascii="宋体" w:hAnsi="宋体"/>
                <w:color w:val="auto"/>
                <w:szCs w:val="21"/>
                <w:lang w:val="en-US" w:eastAsia="zh-CN"/>
              </w:rPr>
              <w:t>6</w:t>
            </w:r>
          </w:p>
        </w:tc>
        <w:tc>
          <w:tcPr>
            <w:tcW w:w="1372" w:type="dxa"/>
            <w:vMerge w:val="restart"/>
            <w:tcBorders>
              <w:top w:val="single" w:color="auto" w:sz="4" w:space="0"/>
              <w:left w:val="single" w:color="000000" w:sz="8" w:space="0"/>
              <w:right w:val="single" w:color="000000" w:sz="8" w:space="0"/>
            </w:tcBorders>
            <w:shd w:val="clear" w:color="auto" w:fill="FFFFFF"/>
            <w:noWrap w:val="0"/>
            <w:vAlign w:val="center"/>
          </w:tcPr>
          <w:p w14:paraId="0A950FF9">
            <w:pPr>
              <w:jc w:val="center"/>
              <w:rPr>
                <w:rFonts w:hint="default" w:ascii="宋体" w:hAnsi="宋体"/>
                <w:color w:val="auto"/>
                <w:kern w:val="0"/>
                <w:lang w:val="en-US" w:bidi="zh-CN"/>
              </w:rPr>
            </w:pPr>
            <w:r>
              <w:rPr>
                <w:rFonts w:hint="eastAsia" w:ascii="宋体" w:hAnsi="宋体"/>
                <w:color w:val="auto"/>
                <w:kern w:val="0"/>
                <w:sz w:val="24"/>
                <w:szCs w:val="24"/>
                <w:highlight w:val="none"/>
                <w:shd w:val="clear" w:color="auto" w:fill="FFFFFF"/>
                <w:lang w:eastAsia="zh-CN"/>
              </w:rPr>
              <w:t>施工</w:t>
            </w:r>
            <w:r>
              <w:rPr>
                <w:rFonts w:hint="eastAsia" w:ascii="宋体" w:hAnsi="宋体"/>
                <w:color w:val="auto"/>
                <w:kern w:val="0"/>
                <w:sz w:val="24"/>
                <w:szCs w:val="24"/>
                <w:highlight w:val="none"/>
                <w:shd w:val="clear" w:color="auto" w:fill="FFFFFF"/>
              </w:rPr>
              <w:t>质量、安全保证措施</w:t>
            </w:r>
          </w:p>
        </w:tc>
        <w:tc>
          <w:tcPr>
            <w:tcW w:w="778" w:type="dxa"/>
            <w:vMerge w:val="restart"/>
            <w:tcBorders>
              <w:left w:val="single" w:color="000000" w:sz="8" w:space="0"/>
              <w:right w:val="single" w:color="000000" w:sz="8" w:space="0"/>
            </w:tcBorders>
            <w:shd w:val="clear" w:color="auto" w:fill="FFFFFF"/>
            <w:noWrap w:val="0"/>
            <w:vAlign w:val="center"/>
          </w:tcPr>
          <w:p w14:paraId="7715D4C4">
            <w:pPr>
              <w:jc w:val="center"/>
              <w:rPr>
                <w:rFonts w:ascii="宋体" w:hAnsi="宋体"/>
                <w:color w:val="auto"/>
                <w:szCs w:val="21"/>
                <w:highlight w:val="yellow"/>
              </w:rPr>
            </w:pPr>
            <w:r>
              <w:rPr>
                <w:rFonts w:hint="eastAsia" w:ascii="宋体" w:hAnsi="宋体" w:eastAsia="宋体" w:cs="宋体"/>
                <w:color w:val="auto"/>
                <w:highlight w:val="none"/>
                <w:lang w:val="en-US" w:eastAsia="zh-CN"/>
              </w:rPr>
              <w:t>10分</w:t>
            </w: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8D6D72">
            <w:pPr>
              <w:spacing w:line="300" w:lineRule="auto"/>
              <w:rPr>
                <w:rFonts w:hint="eastAsia" w:ascii="宋体" w:hAnsi="宋体" w:eastAsia="宋体" w:cs="宋体"/>
                <w:kern w:val="2"/>
                <w:sz w:val="21"/>
                <w:szCs w:val="21"/>
                <w:lang w:val="en-US" w:eastAsia="zh-CN" w:bidi="ar-SA"/>
              </w:rPr>
            </w:pPr>
            <w:r>
              <w:rPr>
                <w:rFonts w:hint="eastAsia" w:ascii="宋体" w:hAnsi="宋体"/>
                <w:szCs w:val="21"/>
              </w:rPr>
              <w:t>科学、合理、完善，可行</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45C0F1">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8-10</w:t>
            </w:r>
            <w:r>
              <w:rPr>
                <w:rFonts w:hint="eastAsia" w:ascii="宋体" w:hAnsi="宋体"/>
                <w:szCs w:val="21"/>
              </w:rPr>
              <w:t>分</w:t>
            </w:r>
          </w:p>
        </w:tc>
      </w:tr>
      <w:tr w14:paraId="30BB8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right w:val="single" w:color="000000" w:sz="8" w:space="0"/>
            </w:tcBorders>
            <w:shd w:val="clear" w:color="auto" w:fill="FFFFFF"/>
            <w:noWrap w:val="0"/>
            <w:vAlign w:val="center"/>
          </w:tcPr>
          <w:p w14:paraId="77506EA7">
            <w:pPr>
              <w:tabs>
                <w:tab w:val="left" w:pos="360"/>
              </w:tabs>
              <w:jc w:val="center"/>
              <w:rPr>
                <w:rFonts w:ascii="宋体" w:hAnsi="宋体"/>
                <w:color w:val="auto"/>
                <w:szCs w:val="21"/>
              </w:rPr>
            </w:pPr>
          </w:p>
        </w:tc>
        <w:tc>
          <w:tcPr>
            <w:tcW w:w="1372" w:type="dxa"/>
            <w:vMerge w:val="continue"/>
            <w:tcBorders>
              <w:left w:val="single" w:color="000000" w:sz="8" w:space="0"/>
              <w:right w:val="single" w:color="000000" w:sz="8" w:space="0"/>
            </w:tcBorders>
            <w:shd w:val="clear" w:color="auto" w:fill="FFFFFF"/>
            <w:noWrap w:val="0"/>
            <w:vAlign w:val="center"/>
          </w:tcPr>
          <w:p w14:paraId="4452FE3F">
            <w:pPr>
              <w:jc w:val="center"/>
              <w:rPr>
                <w:rFonts w:ascii="宋体" w:hAnsi="宋体"/>
                <w:color w:val="auto"/>
                <w:kern w:val="0"/>
                <w:lang w:val="zh-CN" w:bidi="zh-CN"/>
              </w:rPr>
            </w:pPr>
          </w:p>
        </w:tc>
        <w:tc>
          <w:tcPr>
            <w:tcW w:w="778" w:type="dxa"/>
            <w:vMerge w:val="continue"/>
            <w:tcBorders>
              <w:left w:val="single" w:color="000000" w:sz="8" w:space="0"/>
              <w:right w:val="single" w:color="000000" w:sz="8" w:space="0"/>
            </w:tcBorders>
            <w:shd w:val="clear" w:color="auto" w:fill="FFFFFF"/>
            <w:noWrap w:val="0"/>
            <w:vAlign w:val="center"/>
          </w:tcPr>
          <w:p w14:paraId="48D49AF1">
            <w:pPr>
              <w:jc w:val="center"/>
              <w:rPr>
                <w:rFonts w:ascii="宋体" w:hAnsi="宋体"/>
                <w:color w:val="auto"/>
                <w:szCs w:val="21"/>
              </w:rPr>
            </w:pPr>
          </w:p>
        </w:tc>
        <w:tc>
          <w:tcPr>
            <w:tcW w:w="54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77A865D">
            <w:pPr>
              <w:spacing w:line="300" w:lineRule="auto"/>
              <w:rPr>
                <w:rFonts w:hint="eastAsia" w:ascii="宋体" w:hAnsi="宋体" w:eastAsia="宋体" w:cs="宋体"/>
                <w:kern w:val="2"/>
                <w:sz w:val="21"/>
                <w:szCs w:val="21"/>
                <w:lang w:val="en-US" w:eastAsia="zh-CN" w:bidi="ar-SA"/>
              </w:rPr>
            </w:pPr>
            <w:r>
              <w:rPr>
                <w:rFonts w:hint="eastAsia" w:ascii="宋体" w:hAnsi="宋体"/>
                <w:szCs w:val="21"/>
              </w:rPr>
              <w:t xml:space="preserve">较科学合理 </w:t>
            </w:r>
          </w:p>
        </w:tc>
        <w:tc>
          <w:tcPr>
            <w:tcW w:w="133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1E80AE">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4-7</w:t>
            </w:r>
            <w:r>
              <w:rPr>
                <w:rFonts w:hint="eastAsia" w:ascii="宋体" w:hAnsi="宋体"/>
                <w:szCs w:val="21"/>
              </w:rPr>
              <w:t>分</w:t>
            </w:r>
          </w:p>
        </w:tc>
      </w:tr>
      <w:tr w14:paraId="1537E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left w:val="single" w:color="000000" w:sz="8" w:space="0"/>
              <w:bottom w:val="single" w:color="auto" w:sz="4" w:space="0"/>
              <w:right w:val="single" w:color="000000" w:sz="8" w:space="0"/>
            </w:tcBorders>
            <w:shd w:val="clear" w:color="auto" w:fill="FFFFFF"/>
            <w:noWrap w:val="0"/>
            <w:vAlign w:val="center"/>
          </w:tcPr>
          <w:p w14:paraId="150CD658">
            <w:pPr>
              <w:tabs>
                <w:tab w:val="left" w:pos="360"/>
              </w:tabs>
              <w:jc w:val="center"/>
              <w:rPr>
                <w:rFonts w:ascii="宋体" w:hAnsi="宋体"/>
                <w:color w:val="auto"/>
                <w:szCs w:val="21"/>
              </w:rPr>
            </w:pPr>
          </w:p>
        </w:tc>
        <w:tc>
          <w:tcPr>
            <w:tcW w:w="1372" w:type="dxa"/>
            <w:vMerge w:val="continue"/>
            <w:tcBorders>
              <w:left w:val="single" w:color="000000" w:sz="8" w:space="0"/>
              <w:bottom w:val="single" w:color="auto" w:sz="4" w:space="0"/>
              <w:right w:val="single" w:color="000000" w:sz="8" w:space="0"/>
            </w:tcBorders>
            <w:shd w:val="clear" w:color="auto" w:fill="FFFFFF"/>
            <w:noWrap w:val="0"/>
            <w:vAlign w:val="center"/>
          </w:tcPr>
          <w:p w14:paraId="2C7819F8">
            <w:pPr>
              <w:jc w:val="center"/>
              <w:rPr>
                <w:rFonts w:ascii="宋体" w:hAnsi="宋体"/>
                <w:color w:val="auto"/>
                <w:kern w:val="0"/>
                <w:lang w:val="zh-CN" w:bidi="zh-CN"/>
              </w:rPr>
            </w:pPr>
          </w:p>
        </w:tc>
        <w:tc>
          <w:tcPr>
            <w:tcW w:w="778" w:type="dxa"/>
            <w:vMerge w:val="continue"/>
            <w:tcBorders>
              <w:left w:val="single" w:color="000000" w:sz="8" w:space="0"/>
              <w:bottom w:val="single" w:color="auto" w:sz="4" w:space="0"/>
              <w:right w:val="single" w:color="000000" w:sz="8" w:space="0"/>
            </w:tcBorders>
            <w:shd w:val="clear" w:color="auto" w:fill="FFFFFF"/>
            <w:noWrap w:val="0"/>
            <w:vAlign w:val="center"/>
          </w:tcPr>
          <w:p w14:paraId="03EF365B">
            <w:pPr>
              <w:jc w:val="center"/>
              <w:rPr>
                <w:rFonts w:ascii="宋体" w:hAnsi="宋体"/>
                <w:color w:val="auto"/>
                <w:szCs w:val="21"/>
              </w:rPr>
            </w:pPr>
          </w:p>
        </w:tc>
        <w:tc>
          <w:tcPr>
            <w:tcW w:w="5400"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14:paraId="3F468E48">
            <w:pPr>
              <w:spacing w:line="300" w:lineRule="auto"/>
              <w:rPr>
                <w:rFonts w:hint="eastAsia" w:ascii="宋体" w:hAnsi="宋体" w:eastAsia="宋体" w:cs="宋体"/>
                <w:kern w:val="2"/>
                <w:sz w:val="21"/>
                <w:szCs w:val="21"/>
                <w:lang w:val="en-US" w:eastAsia="zh-CN" w:bidi="ar-SA"/>
              </w:rPr>
            </w:pPr>
            <w:r>
              <w:rPr>
                <w:rFonts w:hint="eastAsia" w:ascii="宋体" w:hAnsi="宋体"/>
                <w:szCs w:val="21"/>
              </w:rPr>
              <w:t>一般</w:t>
            </w:r>
          </w:p>
        </w:tc>
        <w:tc>
          <w:tcPr>
            <w:tcW w:w="1331"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14:paraId="7F19321F">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0-3</w:t>
            </w:r>
            <w:r>
              <w:rPr>
                <w:rFonts w:hint="eastAsia" w:ascii="宋体" w:hAnsi="宋体"/>
                <w:szCs w:val="21"/>
              </w:rPr>
              <w:t>分</w:t>
            </w:r>
          </w:p>
        </w:tc>
      </w:tr>
      <w:tr w14:paraId="342E9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41408C">
            <w:pPr>
              <w:tabs>
                <w:tab w:val="left" w:pos="360"/>
              </w:tabs>
              <w:jc w:val="center"/>
              <w:rPr>
                <w:rFonts w:hint="eastAsia" w:ascii="宋体" w:hAnsi="宋体" w:eastAsia="宋体"/>
                <w:color w:val="auto"/>
                <w:szCs w:val="21"/>
                <w:lang w:val="en-US" w:eastAsia="zh-CN"/>
              </w:rPr>
            </w:pPr>
            <w:r>
              <w:rPr>
                <w:rFonts w:hint="eastAsia" w:ascii="宋体" w:hAnsi="宋体"/>
                <w:color w:val="auto"/>
                <w:szCs w:val="21"/>
                <w:lang w:val="en-US" w:eastAsia="zh-CN"/>
              </w:rPr>
              <w:t>7</w:t>
            </w:r>
          </w:p>
        </w:tc>
        <w:tc>
          <w:tcPr>
            <w:tcW w:w="137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C5B2CB">
            <w:pPr>
              <w:jc w:val="center"/>
              <w:rPr>
                <w:rFonts w:ascii="宋体" w:hAnsi="宋体"/>
                <w:color w:val="auto"/>
                <w:kern w:val="0"/>
                <w:lang w:val="zh-CN" w:bidi="zh-CN"/>
              </w:rPr>
            </w:pPr>
            <w:r>
              <w:rPr>
                <w:rFonts w:hint="eastAsia" w:ascii="宋体" w:hAnsi="宋体"/>
                <w:sz w:val="21"/>
                <w:lang w:eastAsia="zh-CN"/>
              </w:rPr>
              <w:t>施工</w:t>
            </w:r>
            <w:r>
              <w:rPr>
                <w:rFonts w:hint="eastAsia" w:ascii="宋体" w:hAnsi="宋体"/>
                <w:sz w:val="21"/>
              </w:rPr>
              <w:t>工作重点、难点分析</w:t>
            </w:r>
            <w:r>
              <w:rPr>
                <w:rFonts w:hint="eastAsia" w:ascii="宋体" w:hAnsi="宋体"/>
                <w:sz w:val="21"/>
                <w:lang w:val="en-US" w:eastAsia="zh-CN"/>
              </w:rPr>
              <w:t>、</w:t>
            </w:r>
            <w:r>
              <w:rPr>
                <w:rFonts w:hint="eastAsia" w:ascii="宋体" w:hAnsi="宋体"/>
                <w:kern w:val="0"/>
                <w:lang w:val="en-US" w:bidi="zh-CN"/>
              </w:rPr>
              <w:t>合理化建议</w:t>
            </w:r>
          </w:p>
        </w:tc>
        <w:tc>
          <w:tcPr>
            <w:tcW w:w="778"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75B1BE">
            <w:pPr>
              <w:jc w:val="center"/>
              <w:rPr>
                <w:rFonts w:ascii="宋体" w:hAnsi="宋体" w:eastAsia="宋体" w:cs="宋体"/>
                <w:color w:val="auto"/>
                <w:kern w:val="2"/>
                <w:sz w:val="21"/>
                <w:szCs w:val="21"/>
                <w:highlight w:val="yellow"/>
                <w:lang w:val="en-US" w:eastAsia="zh-CN" w:bidi="ar-SA"/>
              </w:rPr>
            </w:pPr>
            <w:r>
              <w:rPr>
                <w:rFonts w:hint="eastAsia" w:ascii="宋体" w:hAnsi="宋体" w:eastAsia="宋体" w:cs="宋体"/>
                <w:color w:val="auto"/>
                <w:highlight w:val="none"/>
                <w:lang w:val="en-US" w:eastAsia="zh-CN"/>
              </w:rPr>
              <w:t>10分</w:t>
            </w:r>
          </w:p>
          <w:p w14:paraId="7F20520B">
            <w:pPr>
              <w:jc w:val="center"/>
              <w:rPr>
                <w:rFonts w:hint="default" w:ascii="宋体" w:hAnsi="宋体" w:eastAsia="宋体"/>
                <w:color w:val="auto"/>
                <w:szCs w:val="21"/>
                <w:lang w:val="en-US" w:eastAsia="zh-CN"/>
              </w:rPr>
            </w:pPr>
          </w:p>
        </w:tc>
        <w:tc>
          <w:tcPr>
            <w:tcW w:w="54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E7B869">
            <w:pPr>
              <w:spacing w:line="300" w:lineRule="auto"/>
              <w:rPr>
                <w:rFonts w:hint="eastAsia" w:ascii="宋体" w:hAnsi="宋体" w:eastAsia="宋体" w:cs="宋体"/>
                <w:kern w:val="2"/>
                <w:sz w:val="21"/>
                <w:szCs w:val="21"/>
                <w:lang w:val="en-US" w:eastAsia="zh-CN" w:bidi="ar-SA"/>
              </w:rPr>
            </w:pPr>
            <w:r>
              <w:rPr>
                <w:rFonts w:hint="eastAsia" w:ascii="宋体" w:hAnsi="宋体"/>
                <w:szCs w:val="21"/>
              </w:rPr>
              <w:t>科学、合理、完善，可行</w:t>
            </w:r>
          </w:p>
        </w:tc>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59CDFD">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8-10</w:t>
            </w:r>
            <w:r>
              <w:rPr>
                <w:rFonts w:hint="eastAsia" w:ascii="宋体" w:hAnsi="宋体"/>
                <w:szCs w:val="21"/>
              </w:rPr>
              <w:t>分</w:t>
            </w:r>
          </w:p>
        </w:tc>
      </w:tr>
      <w:tr w14:paraId="4A8BC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D5347F">
            <w:pPr>
              <w:tabs>
                <w:tab w:val="left" w:pos="360"/>
              </w:tabs>
              <w:jc w:val="center"/>
              <w:rPr>
                <w:rFonts w:ascii="宋体" w:hAnsi="宋体"/>
                <w:color w:val="auto"/>
                <w:szCs w:val="21"/>
              </w:rPr>
            </w:pPr>
          </w:p>
        </w:tc>
        <w:tc>
          <w:tcPr>
            <w:tcW w:w="13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5A9398">
            <w:pPr>
              <w:jc w:val="center"/>
              <w:rPr>
                <w:rFonts w:ascii="宋体" w:hAnsi="宋体"/>
                <w:color w:val="auto"/>
                <w:kern w:val="0"/>
                <w:lang w:val="zh-CN" w:bidi="zh-CN"/>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C5FFE9">
            <w:pPr>
              <w:jc w:val="center"/>
              <w:rPr>
                <w:rFonts w:ascii="宋体" w:hAnsi="宋体"/>
                <w:color w:val="auto"/>
                <w:szCs w:val="21"/>
              </w:rPr>
            </w:pPr>
          </w:p>
        </w:tc>
        <w:tc>
          <w:tcPr>
            <w:tcW w:w="54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B2F334">
            <w:pPr>
              <w:spacing w:line="300" w:lineRule="auto"/>
              <w:rPr>
                <w:rFonts w:hint="eastAsia" w:ascii="宋体" w:hAnsi="宋体" w:eastAsia="宋体" w:cs="宋体"/>
                <w:kern w:val="2"/>
                <w:sz w:val="21"/>
                <w:szCs w:val="21"/>
                <w:lang w:val="en-US" w:eastAsia="zh-CN" w:bidi="ar-SA"/>
              </w:rPr>
            </w:pPr>
            <w:r>
              <w:rPr>
                <w:rFonts w:hint="eastAsia" w:ascii="宋体" w:hAnsi="宋体"/>
                <w:szCs w:val="21"/>
              </w:rPr>
              <w:t xml:space="preserve">较科学合理 </w:t>
            </w:r>
          </w:p>
        </w:tc>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A83109">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4-7</w:t>
            </w:r>
            <w:r>
              <w:rPr>
                <w:rFonts w:hint="eastAsia" w:ascii="宋体" w:hAnsi="宋体"/>
                <w:szCs w:val="21"/>
              </w:rPr>
              <w:t>分</w:t>
            </w:r>
          </w:p>
        </w:tc>
      </w:tr>
      <w:tr w14:paraId="6C96C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94"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C95EA0">
            <w:pPr>
              <w:tabs>
                <w:tab w:val="left" w:pos="360"/>
              </w:tabs>
              <w:jc w:val="center"/>
              <w:rPr>
                <w:rFonts w:ascii="宋体" w:hAnsi="宋体"/>
                <w:color w:val="auto"/>
                <w:szCs w:val="21"/>
              </w:rPr>
            </w:pPr>
          </w:p>
        </w:tc>
        <w:tc>
          <w:tcPr>
            <w:tcW w:w="13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D17232">
            <w:pPr>
              <w:jc w:val="center"/>
              <w:rPr>
                <w:rFonts w:ascii="宋体" w:hAnsi="宋体"/>
                <w:color w:val="auto"/>
                <w:kern w:val="0"/>
                <w:lang w:val="zh-CN" w:bidi="zh-CN"/>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EDAA76">
            <w:pPr>
              <w:jc w:val="center"/>
              <w:rPr>
                <w:rFonts w:ascii="宋体" w:hAnsi="宋体"/>
                <w:color w:val="auto"/>
                <w:szCs w:val="21"/>
              </w:rPr>
            </w:pPr>
          </w:p>
        </w:tc>
        <w:tc>
          <w:tcPr>
            <w:tcW w:w="540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5BB809D">
            <w:pPr>
              <w:spacing w:line="300" w:lineRule="auto"/>
              <w:rPr>
                <w:rFonts w:hint="eastAsia" w:ascii="宋体" w:hAnsi="宋体" w:eastAsia="宋体" w:cs="宋体"/>
                <w:kern w:val="2"/>
                <w:sz w:val="21"/>
                <w:szCs w:val="21"/>
                <w:lang w:val="en-US" w:eastAsia="zh-CN" w:bidi="ar-SA"/>
              </w:rPr>
            </w:pPr>
            <w:r>
              <w:rPr>
                <w:rFonts w:hint="eastAsia" w:ascii="宋体" w:hAnsi="宋体"/>
                <w:szCs w:val="21"/>
              </w:rPr>
              <w:t>一般</w:t>
            </w:r>
          </w:p>
        </w:tc>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10CB1D">
            <w:pPr>
              <w:spacing w:line="300" w:lineRule="auto"/>
              <w:jc w:val="center"/>
              <w:rPr>
                <w:rFonts w:hint="eastAsia" w:ascii="宋体" w:hAnsi="宋体" w:eastAsia="宋体" w:cs="宋体"/>
                <w:kern w:val="2"/>
                <w:sz w:val="21"/>
                <w:szCs w:val="21"/>
                <w:lang w:val="en-US" w:eastAsia="zh-CN" w:bidi="ar-SA"/>
              </w:rPr>
            </w:pPr>
            <w:r>
              <w:rPr>
                <w:rFonts w:hint="eastAsia" w:ascii="宋体" w:hAnsi="宋体"/>
                <w:szCs w:val="21"/>
                <w:lang w:val="en-US" w:eastAsia="zh-CN"/>
              </w:rPr>
              <w:t>0-3</w:t>
            </w:r>
            <w:r>
              <w:rPr>
                <w:rFonts w:hint="eastAsia" w:ascii="宋体" w:hAnsi="宋体"/>
                <w:szCs w:val="21"/>
              </w:rPr>
              <w:t>分</w:t>
            </w:r>
          </w:p>
        </w:tc>
      </w:tr>
    </w:tbl>
    <w:p w14:paraId="039B5938">
      <w:pPr>
        <w:rPr>
          <w:rFonts w:ascii="Times New Roman" w:hAnsi="Times New Roman" w:cs="Times New Roman"/>
          <w:szCs w:val="21"/>
        </w:rPr>
      </w:pPr>
    </w:p>
    <w:p w14:paraId="1AAC65FF">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以上内容缺项得0分，综合评分法得分最高者中选，如综合评分相同时</w:t>
      </w:r>
      <w:r>
        <w:rPr>
          <w:rFonts w:ascii="Times New Roman" w:hAnsi="Times New Roman" w:eastAsia="宋体" w:cs="Times New Roman"/>
          <w:szCs w:val="21"/>
        </w:rPr>
        <w:t>，报价低者中选。</w:t>
      </w:r>
    </w:p>
    <w:p w14:paraId="247DF4CB"/>
    <w:sectPr>
      <w:pgSz w:w="11906" w:h="16838"/>
      <w:pgMar w:top="873" w:right="1800" w:bottom="87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Bahnschrift Light"/>
    <w:panose1 w:val="020B0500000000000000"/>
    <w:charset w:val="00"/>
    <w:family w:val="auto"/>
    <w:pitch w:val="default"/>
    <w:sig w:usb0="00000000" w:usb1="00000000" w:usb2="00000000" w:usb3="00000000" w:csb0="00040001" w:csb1="00000000"/>
  </w:font>
  <w:font w:name="Bahnschrift Light">
    <w:panose1 w:val="020B0502040204020203"/>
    <w:charset w:val="00"/>
    <w:family w:val="auto"/>
    <w:pitch w:val="default"/>
    <w:sig w:usb0="A00002C7" w:usb1="00000002" w:usb2="00000000" w:usb3="00000000" w:csb0="2000019F"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M2VhZmZhNTNhOGYyYTM5MmJkNjMxYzg1ZDkxOGQifQ=="/>
  </w:docVars>
  <w:rsids>
    <w:rsidRoot w:val="00000000"/>
    <w:rsid w:val="072B545A"/>
    <w:rsid w:val="09903C9B"/>
    <w:rsid w:val="0B7849E6"/>
    <w:rsid w:val="0C1A0935"/>
    <w:rsid w:val="0F37025A"/>
    <w:rsid w:val="10F44B0F"/>
    <w:rsid w:val="117F65BD"/>
    <w:rsid w:val="12015D3A"/>
    <w:rsid w:val="13BF1404"/>
    <w:rsid w:val="1A051B3B"/>
    <w:rsid w:val="1CD6156D"/>
    <w:rsid w:val="1EAB0BC1"/>
    <w:rsid w:val="23EB7FF4"/>
    <w:rsid w:val="24240795"/>
    <w:rsid w:val="242C3168"/>
    <w:rsid w:val="26555BF8"/>
    <w:rsid w:val="273F4551"/>
    <w:rsid w:val="2ABF6B9E"/>
    <w:rsid w:val="2C9226A6"/>
    <w:rsid w:val="2D6F57F1"/>
    <w:rsid w:val="344A1B57"/>
    <w:rsid w:val="34BD32E6"/>
    <w:rsid w:val="382168CF"/>
    <w:rsid w:val="3A437153"/>
    <w:rsid w:val="40295CD4"/>
    <w:rsid w:val="47D97FDF"/>
    <w:rsid w:val="4BFE6401"/>
    <w:rsid w:val="4CCA1573"/>
    <w:rsid w:val="4CCE3E8B"/>
    <w:rsid w:val="4E2A54B1"/>
    <w:rsid w:val="4F1C39E8"/>
    <w:rsid w:val="4F5A1A06"/>
    <w:rsid w:val="4FF9121F"/>
    <w:rsid w:val="569C6DA8"/>
    <w:rsid w:val="58360846"/>
    <w:rsid w:val="5A04713E"/>
    <w:rsid w:val="5B0311A3"/>
    <w:rsid w:val="5C653798"/>
    <w:rsid w:val="6017088F"/>
    <w:rsid w:val="64B2592C"/>
    <w:rsid w:val="65984BDE"/>
    <w:rsid w:val="65CC2D90"/>
    <w:rsid w:val="686B482C"/>
    <w:rsid w:val="68EF0ACF"/>
    <w:rsid w:val="6ACF730D"/>
    <w:rsid w:val="743D707D"/>
    <w:rsid w:val="74477EFB"/>
    <w:rsid w:val="75705230"/>
    <w:rsid w:val="7AD96963"/>
    <w:rsid w:val="7DED1B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qFormat/>
    <w:uiPriority w:val="0"/>
    <w:pPr>
      <w:jc w:val="center"/>
      <w:outlineLvl w:val="0"/>
    </w:pPr>
    <w:rPr>
      <w:rFonts w:ascii="宋体"/>
      <w:b/>
      <w:sz w:val="44"/>
    </w:rPr>
  </w:style>
  <w:style w:type="paragraph" w:styleId="4">
    <w:name w:val="Body Text 3"/>
    <w:basedOn w:val="1"/>
    <w:next w:val="5"/>
    <w:qFormat/>
    <w:uiPriority w:val="0"/>
    <w:rPr>
      <w:rFonts w:ascii="宋体"/>
      <w:sz w:val="24"/>
      <w:szCs w:val="20"/>
    </w:rPr>
  </w:style>
  <w:style w:type="paragraph" w:styleId="5">
    <w:name w:val="toc 8"/>
    <w:basedOn w:val="1"/>
    <w:next w:val="1"/>
    <w:semiHidden/>
    <w:qFormat/>
    <w:uiPriority w:val="0"/>
    <w:pPr>
      <w:ind w:left="2940" w:leftChars="1400"/>
    </w:pPr>
  </w:style>
  <w:style w:type="paragraph" w:styleId="6">
    <w:name w:val="Body Text Indent"/>
    <w:basedOn w:val="1"/>
    <w:next w:val="7"/>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envelope return"/>
    <w:basedOn w:val="1"/>
    <w:unhideWhenUsed/>
    <w:qFormat/>
    <w:uiPriority w:val="99"/>
    <w:pPr>
      <w:snapToGrid w:val="0"/>
    </w:pPr>
    <w:rPr>
      <w:rFonts w:ascii="Arial" w:hAnsi="Arial"/>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6"/>
    <w:next w:val="1"/>
    <w:qFormat/>
    <w:uiPriority w:val="0"/>
    <w:pPr>
      <w:tabs>
        <w:tab w:val="left" w:pos="8280"/>
      </w:tabs>
      <w:ind w:firstLine="420" w:firstLineChars="200"/>
    </w:pPr>
    <w:rPr>
      <w:rFonts w:ascii="Times New Roman" w:hAnsi="Times New Roman"/>
    </w:rPr>
  </w:style>
  <w:style w:type="paragraph" w:customStyle="1" w:styleId="12">
    <w:name w:val="Table Paragraph"/>
    <w:basedOn w:val="1"/>
    <w:qFormat/>
    <w:uiPriority w:val="1"/>
    <w:pPr>
      <w:autoSpaceDE w:val="0"/>
      <w:autoSpaceDN w:val="0"/>
      <w:adjustRightInd w:val="0"/>
      <w:jc w:val="left"/>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680</Words>
  <Characters>738</Characters>
  <Lines>0</Lines>
  <Paragraphs>0</Paragraphs>
  <TotalTime>0</TotalTime>
  <ScaleCrop>false</ScaleCrop>
  <LinksUpToDate>false</LinksUpToDate>
  <CharactersWithSpaces>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2024-01-30T02:29:00Z</dcterms:created>
  <dc:creator>acer</dc:creator>
  <cp:lastModifiedBy>你别逞强</cp:lastModifiedBy>
  <cp:lastPrinted>2026-07-13T02:05:00Z</cp:lastPrinted>
  <dcterms:modified xsi:type="dcterms:W3CDTF">2026-08-12T06:32:48Z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160F31B1F23C437CB4E1B2FFC92BAFF9_13</vt:lpwstr>
  </property>
  <property fmtid="{D5CDD505-2E9C-101B-9397-08002B2CF9AE}" pid="4" name="KSOTemplateDocerSaveRecord">
    <vt:lpwstr>eyJoZGlkIjoiYzhkYTJiODc0OGVhZTQ5ZGI4YTFjNzVjNTlmZjI2YTIiLCJ1c2VySWQiOiI3MzY5ODMzNTcifQ==</vt:lpwstr>
  </property>
</Properties>
</file>