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17CCE">
      <w:pPr>
        <w:pStyle w:val="28"/>
        <w:bidi w:val="0"/>
        <w:rPr>
          <w:rStyle w:val="21"/>
          <w:rFonts w:hint="eastAsia" w:ascii="宋体" w:hAnsi="宋体" w:eastAsia="宋体" w:cs="宋体"/>
          <w:b/>
          <w:bCs/>
          <w:i w:val="0"/>
          <w:iCs w:val="0"/>
          <w:caps w:val="0"/>
          <w:color w:val="2B2B2B"/>
          <w:spacing w:val="0"/>
          <w:sz w:val="32"/>
          <w:szCs w:val="32"/>
          <w:lang w:val="en-US" w:eastAsia="zh-CN"/>
        </w:rPr>
      </w:pPr>
      <w:r>
        <w:rPr>
          <w:rStyle w:val="21"/>
          <w:rFonts w:hint="eastAsia" w:ascii="宋体" w:hAnsi="宋体" w:eastAsia="宋体" w:cs="宋体"/>
          <w:b/>
          <w:bCs/>
          <w:i w:val="0"/>
          <w:iCs w:val="0"/>
          <w:caps w:val="0"/>
          <w:color w:val="2B2B2B"/>
          <w:spacing w:val="0"/>
          <w:sz w:val="32"/>
          <w:szCs w:val="32"/>
          <w:lang w:val="en-US" w:eastAsia="zh-CN"/>
        </w:rPr>
        <w:t>评分标准</w:t>
      </w:r>
    </w:p>
    <w:p w14:paraId="4C30BD3D">
      <w:pPr>
        <w:pStyle w:val="28"/>
        <w:bidi w:val="0"/>
        <w:rPr>
          <w:rStyle w:val="21"/>
          <w:rFonts w:hint="eastAsia" w:ascii="宋体" w:hAnsi="宋体" w:eastAsia="宋体" w:cs="宋体"/>
          <w:b/>
          <w:bCs/>
          <w:i w:val="0"/>
          <w:iCs w:val="0"/>
          <w:caps w:val="0"/>
          <w:color w:val="2B2B2B"/>
          <w:spacing w:val="0"/>
          <w:sz w:val="32"/>
          <w:szCs w:val="32"/>
          <w:lang w:val="en-US" w:eastAsia="zh-CN"/>
        </w:rPr>
      </w:pPr>
    </w:p>
    <w:tbl>
      <w:tblPr>
        <w:tblStyle w:val="19"/>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3"/>
        <w:gridCol w:w="2647"/>
        <w:gridCol w:w="5695"/>
      </w:tblGrid>
      <w:tr w14:paraId="7FDC9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863" w:type="dxa"/>
            <w:vAlign w:val="center"/>
          </w:tcPr>
          <w:p w14:paraId="5D84B2B4">
            <w:pPr>
              <w:pStyle w:val="2"/>
              <w:bidi w:val="0"/>
              <w:jc w:val="center"/>
              <w:rPr>
                <w:rFonts w:hint="eastAsia"/>
              </w:rPr>
            </w:pPr>
            <w:r>
              <w:rPr>
                <w:rFonts w:hint="eastAsia"/>
              </w:rPr>
              <w:t>条款内容</w:t>
            </w:r>
          </w:p>
        </w:tc>
        <w:tc>
          <w:tcPr>
            <w:tcW w:w="8342" w:type="dxa"/>
            <w:gridSpan w:val="2"/>
            <w:vAlign w:val="center"/>
          </w:tcPr>
          <w:p w14:paraId="78DB0A31">
            <w:pPr>
              <w:pStyle w:val="2"/>
              <w:bidi w:val="0"/>
              <w:jc w:val="center"/>
              <w:rPr>
                <w:rFonts w:hint="eastAsia"/>
              </w:rPr>
            </w:pPr>
            <w:r>
              <w:rPr>
                <w:rFonts w:hint="eastAsia"/>
              </w:rPr>
              <w:t>编列内容</w:t>
            </w:r>
          </w:p>
        </w:tc>
      </w:tr>
      <w:tr w14:paraId="63DE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1863" w:type="dxa"/>
            <w:vAlign w:val="center"/>
          </w:tcPr>
          <w:p w14:paraId="11975DB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sz w:val="32"/>
                <w:szCs w:val="22"/>
              </w:rPr>
            </w:pPr>
            <w:r>
              <w:rPr>
                <w:rFonts w:hint="eastAsia"/>
                <w:sz w:val="32"/>
                <w:szCs w:val="22"/>
              </w:rPr>
              <w:t>分值构</w:t>
            </w:r>
            <w:r>
              <w:rPr>
                <w:rFonts w:hint="eastAsia"/>
                <w:sz w:val="32"/>
                <w:szCs w:val="22"/>
                <w:lang w:val="en-US" w:eastAsia="zh-CN"/>
              </w:rPr>
              <w:t>成</w:t>
            </w:r>
            <w:r>
              <w:rPr>
                <w:rFonts w:hint="eastAsia"/>
                <w:sz w:val="32"/>
                <w:szCs w:val="22"/>
              </w:rPr>
              <w:t>(100分)</w:t>
            </w:r>
          </w:p>
        </w:tc>
        <w:tc>
          <w:tcPr>
            <w:tcW w:w="8342" w:type="dxa"/>
            <w:gridSpan w:val="2"/>
            <w:vAlign w:val="center"/>
          </w:tcPr>
          <w:p w14:paraId="24FAEA44">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rPr>
            </w:pPr>
            <w:r>
              <w:rPr>
                <w:rFonts w:hint="eastAsia"/>
                <w:sz w:val="32"/>
                <w:szCs w:val="22"/>
                <w:lang w:val="en-US" w:eastAsia="zh-CN"/>
              </w:rPr>
              <w:t>工作</w:t>
            </w:r>
            <w:r>
              <w:rPr>
                <w:rFonts w:hint="eastAsia"/>
                <w:sz w:val="32"/>
                <w:szCs w:val="22"/>
              </w:rPr>
              <w:t>方案总体评价：</w:t>
            </w:r>
            <w:r>
              <w:rPr>
                <w:rFonts w:hint="eastAsia"/>
                <w:sz w:val="32"/>
                <w:szCs w:val="22"/>
                <w:lang w:val="en-US" w:eastAsia="zh-CN"/>
              </w:rPr>
              <w:t>60</w:t>
            </w:r>
            <w:r>
              <w:rPr>
                <w:rFonts w:hint="eastAsia"/>
                <w:sz w:val="32"/>
                <w:szCs w:val="22"/>
              </w:rPr>
              <w:t>分</w:t>
            </w:r>
          </w:p>
          <w:p w14:paraId="05DC66B6">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rPr>
            </w:pPr>
            <w:r>
              <w:rPr>
                <w:rFonts w:hint="eastAsia"/>
                <w:sz w:val="32"/>
                <w:szCs w:val="22"/>
              </w:rPr>
              <w:t>报价得分：</w:t>
            </w:r>
            <w:r>
              <w:rPr>
                <w:rFonts w:hint="eastAsia"/>
                <w:sz w:val="32"/>
                <w:szCs w:val="22"/>
                <w:lang w:val="en-US" w:eastAsia="zh-CN"/>
              </w:rPr>
              <w:t>40</w:t>
            </w:r>
            <w:r>
              <w:rPr>
                <w:rFonts w:hint="eastAsia"/>
                <w:sz w:val="32"/>
                <w:szCs w:val="22"/>
              </w:rPr>
              <w:t>分</w:t>
            </w:r>
          </w:p>
        </w:tc>
      </w:tr>
      <w:tr w14:paraId="26C0B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exact"/>
          <w:jc w:val="center"/>
        </w:trPr>
        <w:tc>
          <w:tcPr>
            <w:tcW w:w="1863" w:type="dxa"/>
            <w:vAlign w:val="center"/>
          </w:tcPr>
          <w:p w14:paraId="1BB9A63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sz w:val="32"/>
                <w:szCs w:val="22"/>
              </w:rPr>
            </w:pPr>
            <w:r>
              <w:rPr>
                <w:rFonts w:hint="eastAsia"/>
                <w:sz w:val="32"/>
                <w:szCs w:val="22"/>
                <w:lang w:val="en-US" w:eastAsia="zh-CN"/>
              </w:rPr>
              <w:t>比选</w:t>
            </w:r>
            <w:r>
              <w:rPr>
                <w:rFonts w:hint="eastAsia"/>
                <w:sz w:val="32"/>
                <w:szCs w:val="22"/>
              </w:rPr>
              <w:t>基准价</w:t>
            </w:r>
          </w:p>
        </w:tc>
        <w:tc>
          <w:tcPr>
            <w:tcW w:w="8342" w:type="dxa"/>
            <w:gridSpan w:val="2"/>
            <w:vAlign w:val="center"/>
          </w:tcPr>
          <w:p w14:paraId="50061EEA">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lang w:eastAsia="zh-CN"/>
              </w:rPr>
            </w:pPr>
            <w:r>
              <w:rPr>
                <w:rFonts w:hint="eastAsia"/>
                <w:sz w:val="32"/>
                <w:szCs w:val="22"/>
              </w:rPr>
              <w:t>有效报价的最低价为基准价</w:t>
            </w:r>
            <w:r>
              <w:rPr>
                <w:rFonts w:hint="eastAsia"/>
                <w:sz w:val="32"/>
                <w:szCs w:val="22"/>
                <w:lang w:eastAsia="zh-CN"/>
              </w:rPr>
              <w:t>，</w:t>
            </w:r>
            <w:r>
              <w:rPr>
                <w:rFonts w:hint="eastAsia"/>
                <w:sz w:val="32"/>
                <w:szCs w:val="22"/>
              </w:rPr>
              <w:t>评标委员会认为供应商的报价明显低于其他通过符合性审查供应商的报价，有可能影响质量或者不能诚信履约的，应当要求其在合理的时间内提供书面说明，必要时提交相关证明材料；不能证明报价合理的，作无效投标处理</w:t>
            </w:r>
            <w:r>
              <w:rPr>
                <w:rFonts w:hint="eastAsia"/>
                <w:sz w:val="32"/>
                <w:szCs w:val="22"/>
                <w:lang w:eastAsia="zh-CN"/>
              </w:rPr>
              <w:t>。</w:t>
            </w:r>
          </w:p>
          <w:p w14:paraId="43516356">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rPr>
            </w:pPr>
            <w:r>
              <w:rPr>
                <w:rFonts w:hint="eastAsia"/>
                <w:sz w:val="32"/>
                <w:szCs w:val="22"/>
              </w:rPr>
              <w:t>（有效报价为通过形式和响应性评审及资格审查的</w:t>
            </w:r>
            <w:r>
              <w:rPr>
                <w:rFonts w:hint="eastAsia"/>
                <w:sz w:val="32"/>
                <w:szCs w:val="22"/>
                <w:lang w:val="en-US" w:eastAsia="zh-CN"/>
              </w:rPr>
              <w:t>比选</w:t>
            </w:r>
            <w:r>
              <w:rPr>
                <w:rFonts w:hint="eastAsia"/>
                <w:sz w:val="32"/>
                <w:szCs w:val="22"/>
              </w:rPr>
              <w:t>文件的报价）</w:t>
            </w:r>
          </w:p>
        </w:tc>
      </w:tr>
      <w:tr w14:paraId="6F92F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exact"/>
          <w:jc w:val="center"/>
        </w:trPr>
        <w:tc>
          <w:tcPr>
            <w:tcW w:w="1863" w:type="dxa"/>
            <w:vAlign w:val="center"/>
          </w:tcPr>
          <w:p w14:paraId="680100F0">
            <w:pPr>
              <w:pStyle w:val="2"/>
              <w:bidi w:val="0"/>
              <w:jc w:val="center"/>
              <w:rPr>
                <w:rFonts w:hint="eastAsia"/>
              </w:rPr>
            </w:pPr>
            <w:r>
              <w:rPr>
                <w:rFonts w:hint="eastAsia"/>
              </w:rPr>
              <w:t>评分因素</w:t>
            </w:r>
          </w:p>
        </w:tc>
        <w:tc>
          <w:tcPr>
            <w:tcW w:w="8342" w:type="dxa"/>
            <w:gridSpan w:val="2"/>
            <w:vAlign w:val="center"/>
          </w:tcPr>
          <w:p w14:paraId="18F12762">
            <w:pPr>
              <w:pStyle w:val="2"/>
              <w:bidi w:val="0"/>
              <w:jc w:val="center"/>
              <w:rPr>
                <w:rFonts w:hint="eastAsia"/>
              </w:rPr>
            </w:pPr>
            <w:r>
              <w:rPr>
                <w:rFonts w:hint="eastAsia"/>
              </w:rPr>
              <w:t>评分标准</w:t>
            </w:r>
          </w:p>
        </w:tc>
      </w:tr>
      <w:tr w14:paraId="6E2D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1863" w:type="dxa"/>
            <w:vMerge w:val="restart"/>
            <w:vAlign w:val="center"/>
          </w:tcPr>
          <w:p w14:paraId="3B57D02D">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sz w:val="32"/>
                <w:szCs w:val="22"/>
              </w:rPr>
            </w:pPr>
            <w:r>
              <w:rPr>
                <w:rFonts w:hint="eastAsia"/>
                <w:sz w:val="32"/>
                <w:szCs w:val="22"/>
                <w:lang w:val="en-US" w:eastAsia="zh-CN"/>
              </w:rPr>
              <w:t>工作</w:t>
            </w:r>
            <w:r>
              <w:rPr>
                <w:rFonts w:hint="eastAsia"/>
                <w:sz w:val="32"/>
                <w:szCs w:val="22"/>
              </w:rPr>
              <w:t>方案总体评价</w:t>
            </w:r>
          </w:p>
          <w:p w14:paraId="44954E53">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sz w:val="32"/>
                <w:szCs w:val="22"/>
              </w:rPr>
            </w:pPr>
            <w:r>
              <w:rPr>
                <w:rFonts w:hint="eastAsia"/>
                <w:sz w:val="32"/>
                <w:szCs w:val="22"/>
              </w:rPr>
              <w:t>（</w:t>
            </w:r>
            <w:r>
              <w:rPr>
                <w:rFonts w:hint="eastAsia"/>
                <w:sz w:val="32"/>
                <w:szCs w:val="22"/>
                <w:lang w:val="en-US" w:eastAsia="zh-CN"/>
              </w:rPr>
              <w:t>60</w:t>
            </w:r>
            <w:r>
              <w:rPr>
                <w:rFonts w:hint="eastAsia"/>
                <w:sz w:val="32"/>
                <w:szCs w:val="22"/>
              </w:rPr>
              <w:t>分）</w:t>
            </w:r>
          </w:p>
        </w:tc>
        <w:tc>
          <w:tcPr>
            <w:tcW w:w="2647" w:type="dxa"/>
            <w:vAlign w:val="center"/>
          </w:tcPr>
          <w:p w14:paraId="50D99748">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rPr>
            </w:pPr>
            <w:r>
              <w:rPr>
                <w:rFonts w:hint="eastAsia"/>
                <w:sz w:val="32"/>
                <w:szCs w:val="22"/>
                <w:lang w:val="en-US" w:eastAsia="zh-CN"/>
              </w:rPr>
              <w:t>评估</w:t>
            </w:r>
            <w:r>
              <w:rPr>
                <w:rFonts w:hint="eastAsia"/>
                <w:sz w:val="32"/>
                <w:szCs w:val="22"/>
              </w:rPr>
              <w:t>方案</w:t>
            </w:r>
            <w:r>
              <w:rPr>
                <w:rFonts w:hint="eastAsia"/>
                <w:sz w:val="32"/>
                <w:szCs w:val="22"/>
                <w:lang w:val="en-US" w:eastAsia="zh-CN"/>
              </w:rPr>
              <w:t>（20分）</w:t>
            </w:r>
          </w:p>
        </w:tc>
        <w:tc>
          <w:tcPr>
            <w:tcW w:w="5695" w:type="dxa"/>
            <w:vAlign w:val="center"/>
          </w:tcPr>
          <w:p w14:paraId="2200E818">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rPr>
            </w:pPr>
            <w:r>
              <w:rPr>
                <w:rFonts w:hint="eastAsia"/>
                <w:sz w:val="32"/>
                <w:szCs w:val="22"/>
              </w:rPr>
              <w:t>评估方案依据:方案详细、完整、全面，服务目标明确，工作流程清晰、规范。评分标准:优秀1</w:t>
            </w:r>
            <w:r>
              <w:rPr>
                <w:rFonts w:hint="eastAsia"/>
                <w:sz w:val="32"/>
                <w:szCs w:val="22"/>
                <w:lang w:val="en-US" w:eastAsia="zh-CN"/>
              </w:rPr>
              <w:t>5</w:t>
            </w:r>
            <w:r>
              <w:rPr>
                <w:rFonts w:hint="eastAsia"/>
                <w:sz w:val="32"/>
                <w:szCs w:val="22"/>
              </w:rPr>
              <w:t>-</w:t>
            </w:r>
            <w:r>
              <w:rPr>
                <w:rFonts w:hint="eastAsia"/>
                <w:sz w:val="32"/>
                <w:szCs w:val="22"/>
                <w:lang w:val="en-US" w:eastAsia="zh-CN"/>
              </w:rPr>
              <w:t>20</w:t>
            </w:r>
            <w:r>
              <w:rPr>
                <w:rFonts w:hint="eastAsia"/>
                <w:sz w:val="32"/>
                <w:szCs w:val="22"/>
                <w:lang w:eastAsia="zh-CN"/>
              </w:rPr>
              <w:t>；</w:t>
            </w:r>
            <w:r>
              <w:rPr>
                <w:rFonts w:hint="eastAsia"/>
                <w:sz w:val="32"/>
                <w:szCs w:val="22"/>
              </w:rPr>
              <w:t>一般</w:t>
            </w:r>
            <w:r>
              <w:rPr>
                <w:rFonts w:hint="eastAsia"/>
                <w:sz w:val="32"/>
                <w:szCs w:val="22"/>
                <w:lang w:val="en-US" w:eastAsia="zh-CN"/>
              </w:rPr>
              <w:t>11</w:t>
            </w:r>
            <w:r>
              <w:rPr>
                <w:rFonts w:hint="eastAsia"/>
                <w:sz w:val="32"/>
                <w:szCs w:val="22"/>
              </w:rPr>
              <w:t>-1</w:t>
            </w:r>
            <w:r>
              <w:rPr>
                <w:rFonts w:hint="eastAsia"/>
                <w:sz w:val="32"/>
                <w:szCs w:val="22"/>
                <w:lang w:val="en-US" w:eastAsia="zh-CN"/>
              </w:rPr>
              <w:t>5</w:t>
            </w:r>
            <w:r>
              <w:rPr>
                <w:rFonts w:hint="eastAsia"/>
                <w:sz w:val="32"/>
                <w:szCs w:val="22"/>
                <w:lang w:eastAsia="zh-CN"/>
              </w:rPr>
              <w:t>；</w:t>
            </w:r>
            <w:r>
              <w:rPr>
                <w:rFonts w:hint="eastAsia"/>
                <w:sz w:val="32"/>
                <w:szCs w:val="22"/>
              </w:rPr>
              <w:t xml:space="preserve">较差 </w:t>
            </w:r>
            <w:r>
              <w:rPr>
                <w:rFonts w:hint="eastAsia"/>
                <w:sz w:val="32"/>
                <w:szCs w:val="22"/>
                <w:lang w:val="en-US" w:eastAsia="zh-CN"/>
              </w:rPr>
              <w:t>5</w:t>
            </w:r>
            <w:r>
              <w:rPr>
                <w:rFonts w:hint="eastAsia"/>
                <w:sz w:val="32"/>
                <w:szCs w:val="22"/>
              </w:rPr>
              <w:t>-</w:t>
            </w:r>
            <w:r>
              <w:rPr>
                <w:rFonts w:hint="eastAsia"/>
                <w:sz w:val="32"/>
                <w:szCs w:val="22"/>
                <w:lang w:val="en-US" w:eastAsia="zh-CN"/>
              </w:rPr>
              <w:t>10</w:t>
            </w:r>
            <w:r>
              <w:rPr>
                <w:rFonts w:hint="eastAsia"/>
                <w:sz w:val="32"/>
                <w:szCs w:val="22"/>
              </w:rPr>
              <w:t>。</w:t>
            </w:r>
            <w:bookmarkStart w:id="0" w:name="_GoBack"/>
            <w:bookmarkEnd w:id="0"/>
          </w:p>
        </w:tc>
      </w:tr>
      <w:tr w14:paraId="1A44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1863" w:type="dxa"/>
            <w:vMerge w:val="continue"/>
            <w:vAlign w:val="center"/>
          </w:tcPr>
          <w:p w14:paraId="7DBB7A13">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sz w:val="32"/>
                <w:szCs w:val="22"/>
                <w:lang w:val="en-US" w:eastAsia="zh-CN"/>
              </w:rPr>
            </w:pPr>
          </w:p>
        </w:tc>
        <w:tc>
          <w:tcPr>
            <w:tcW w:w="2647" w:type="dxa"/>
            <w:vAlign w:val="center"/>
          </w:tcPr>
          <w:p w14:paraId="5D7917DF">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lang w:val="en-US" w:eastAsia="zh-CN"/>
              </w:rPr>
            </w:pPr>
            <w:r>
              <w:rPr>
                <w:rFonts w:hint="eastAsia"/>
                <w:sz w:val="32"/>
                <w:szCs w:val="22"/>
                <w:lang w:val="en-US" w:eastAsia="zh-CN"/>
              </w:rPr>
              <w:t>人员配备（20分）</w:t>
            </w:r>
          </w:p>
        </w:tc>
        <w:tc>
          <w:tcPr>
            <w:tcW w:w="5695" w:type="dxa"/>
            <w:vAlign w:val="center"/>
          </w:tcPr>
          <w:p w14:paraId="5C540C8C">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rPr>
            </w:pPr>
            <w:r>
              <w:rPr>
                <w:rFonts w:hint="eastAsia"/>
                <w:sz w:val="32"/>
                <w:szCs w:val="22"/>
              </w:rPr>
              <w:t>人员配备依据:根据参选单位对本项目配备人员的人数、资历、资质。评分标准:</w:t>
            </w:r>
            <w:r>
              <w:rPr>
                <w:rFonts w:hint="eastAsia"/>
                <w:sz w:val="32"/>
                <w:szCs w:val="22"/>
                <w:lang w:val="en-US" w:eastAsia="zh-CN"/>
              </w:rPr>
              <w:t>优</w:t>
            </w:r>
            <w:r>
              <w:rPr>
                <w:rFonts w:hint="eastAsia"/>
                <w:sz w:val="32"/>
                <w:szCs w:val="22"/>
              </w:rPr>
              <w:t>1</w:t>
            </w:r>
            <w:r>
              <w:rPr>
                <w:rFonts w:hint="eastAsia"/>
                <w:sz w:val="32"/>
                <w:szCs w:val="22"/>
                <w:lang w:val="en-US" w:eastAsia="zh-CN"/>
              </w:rPr>
              <w:t>5</w:t>
            </w:r>
            <w:r>
              <w:rPr>
                <w:rFonts w:hint="eastAsia"/>
                <w:sz w:val="32"/>
                <w:szCs w:val="22"/>
              </w:rPr>
              <w:t>-</w:t>
            </w:r>
            <w:r>
              <w:rPr>
                <w:rFonts w:hint="eastAsia"/>
                <w:sz w:val="32"/>
                <w:szCs w:val="22"/>
                <w:lang w:val="en-US" w:eastAsia="zh-CN"/>
              </w:rPr>
              <w:t>20</w:t>
            </w:r>
            <w:r>
              <w:rPr>
                <w:rFonts w:hint="eastAsia"/>
                <w:sz w:val="32"/>
                <w:szCs w:val="22"/>
                <w:lang w:eastAsia="zh-CN"/>
              </w:rPr>
              <w:t>；</w:t>
            </w:r>
            <w:r>
              <w:rPr>
                <w:rFonts w:hint="eastAsia"/>
                <w:sz w:val="32"/>
                <w:szCs w:val="22"/>
                <w:lang w:val="en-US" w:eastAsia="zh-CN"/>
              </w:rPr>
              <w:t>良11</w:t>
            </w:r>
            <w:r>
              <w:rPr>
                <w:rFonts w:hint="eastAsia"/>
                <w:sz w:val="32"/>
                <w:szCs w:val="22"/>
              </w:rPr>
              <w:t>-1</w:t>
            </w:r>
            <w:r>
              <w:rPr>
                <w:rFonts w:hint="eastAsia"/>
                <w:sz w:val="32"/>
                <w:szCs w:val="22"/>
                <w:lang w:val="en-US" w:eastAsia="zh-CN"/>
              </w:rPr>
              <w:t>5</w:t>
            </w:r>
            <w:r>
              <w:rPr>
                <w:rFonts w:hint="eastAsia"/>
                <w:sz w:val="32"/>
                <w:szCs w:val="22"/>
                <w:lang w:eastAsia="zh-CN"/>
              </w:rPr>
              <w:t>；</w:t>
            </w:r>
            <w:r>
              <w:rPr>
                <w:rFonts w:hint="eastAsia"/>
                <w:sz w:val="32"/>
                <w:szCs w:val="22"/>
                <w:lang w:val="en-US" w:eastAsia="zh-CN"/>
              </w:rPr>
              <w:t>一般</w:t>
            </w:r>
            <w:r>
              <w:rPr>
                <w:rFonts w:hint="eastAsia"/>
                <w:sz w:val="32"/>
                <w:szCs w:val="22"/>
              </w:rPr>
              <w:t xml:space="preserve"> </w:t>
            </w:r>
            <w:r>
              <w:rPr>
                <w:rFonts w:hint="eastAsia"/>
                <w:sz w:val="32"/>
                <w:szCs w:val="22"/>
                <w:lang w:val="en-US" w:eastAsia="zh-CN"/>
              </w:rPr>
              <w:t>5</w:t>
            </w:r>
            <w:r>
              <w:rPr>
                <w:rFonts w:hint="eastAsia"/>
                <w:sz w:val="32"/>
                <w:szCs w:val="22"/>
              </w:rPr>
              <w:t>-</w:t>
            </w:r>
            <w:r>
              <w:rPr>
                <w:rFonts w:hint="eastAsia"/>
                <w:sz w:val="32"/>
                <w:szCs w:val="22"/>
                <w:lang w:val="en-US" w:eastAsia="zh-CN"/>
              </w:rPr>
              <w:t>10</w:t>
            </w:r>
            <w:r>
              <w:rPr>
                <w:rFonts w:hint="eastAsia"/>
                <w:sz w:val="32"/>
                <w:szCs w:val="22"/>
              </w:rPr>
              <w:t>。</w:t>
            </w:r>
          </w:p>
        </w:tc>
      </w:tr>
      <w:tr w14:paraId="770E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63" w:type="dxa"/>
            <w:vMerge w:val="continue"/>
            <w:vAlign w:val="center"/>
          </w:tcPr>
          <w:p w14:paraId="2077506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sz w:val="32"/>
                <w:szCs w:val="22"/>
              </w:rPr>
            </w:pPr>
          </w:p>
        </w:tc>
        <w:tc>
          <w:tcPr>
            <w:tcW w:w="2647" w:type="dxa"/>
            <w:vAlign w:val="center"/>
          </w:tcPr>
          <w:p w14:paraId="4612D6CF">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rPr>
            </w:pPr>
            <w:r>
              <w:rPr>
                <w:rFonts w:hint="eastAsia"/>
                <w:sz w:val="32"/>
                <w:szCs w:val="22"/>
                <w:lang w:val="en-US" w:eastAsia="zh-CN"/>
              </w:rPr>
              <w:t>类似业绩</w:t>
            </w:r>
            <w:r>
              <w:rPr>
                <w:rFonts w:hint="eastAsia"/>
                <w:sz w:val="32"/>
                <w:szCs w:val="22"/>
              </w:rPr>
              <w:t>（</w:t>
            </w:r>
            <w:r>
              <w:rPr>
                <w:rFonts w:hint="eastAsia"/>
                <w:sz w:val="32"/>
                <w:szCs w:val="22"/>
                <w:lang w:val="en-US" w:eastAsia="zh-CN"/>
              </w:rPr>
              <w:t>20</w:t>
            </w:r>
            <w:r>
              <w:rPr>
                <w:rFonts w:hint="eastAsia"/>
                <w:sz w:val="32"/>
                <w:szCs w:val="22"/>
              </w:rPr>
              <w:t>分）</w:t>
            </w:r>
          </w:p>
        </w:tc>
        <w:tc>
          <w:tcPr>
            <w:tcW w:w="5695" w:type="dxa"/>
            <w:vAlign w:val="center"/>
          </w:tcPr>
          <w:p w14:paraId="1DF57D09">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rPr>
            </w:pPr>
            <w:r>
              <w:rPr>
                <w:rFonts w:hint="eastAsia"/>
                <w:sz w:val="32"/>
                <w:szCs w:val="22"/>
              </w:rPr>
              <w:t>提供同类业绩每个得</w:t>
            </w:r>
            <w:r>
              <w:rPr>
                <w:rFonts w:hint="eastAsia"/>
                <w:sz w:val="32"/>
                <w:szCs w:val="22"/>
                <w:lang w:val="en-US" w:eastAsia="zh-CN"/>
              </w:rPr>
              <w:t>5</w:t>
            </w:r>
            <w:r>
              <w:rPr>
                <w:rFonts w:hint="eastAsia"/>
                <w:sz w:val="32"/>
                <w:szCs w:val="22"/>
              </w:rPr>
              <w:t>分。</w:t>
            </w:r>
          </w:p>
        </w:tc>
      </w:tr>
      <w:tr w14:paraId="3AA1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863" w:type="dxa"/>
            <w:vAlign w:val="center"/>
          </w:tcPr>
          <w:p w14:paraId="6F763104">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sz w:val="32"/>
                <w:szCs w:val="22"/>
              </w:rPr>
            </w:pPr>
            <w:r>
              <w:rPr>
                <w:rFonts w:hint="eastAsia"/>
                <w:sz w:val="32"/>
                <w:szCs w:val="22"/>
                <w:lang w:val="en-US" w:eastAsia="zh-CN"/>
              </w:rPr>
              <w:t>比选</w:t>
            </w:r>
            <w:r>
              <w:rPr>
                <w:rFonts w:hint="eastAsia"/>
                <w:sz w:val="32"/>
                <w:szCs w:val="22"/>
              </w:rPr>
              <w:t>报价</w:t>
            </w:r>
          </w:p>
          <w:p w14:paraId="4C30BDFE">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sz w:val="32"/>
                <w:szCs w:val="22"/>
              </w:rPr>
            </w:pPr>
            <w:r>
              <w:rPr>
                <w:rFonts w:hint="eastAsia"/>
                <w:sz w:val="32"/>
                <w:szCs w:val="22"/>
              </w:rPr>
              <w:t>（</w:t>
            </w:r>
            <w:r>
              <w:rPr>
                <w:rFonts w:hint="eastAsia"/>
                <w:sz w:val="32"/>
                <w:szCs w:val="22"/>
                <w:lang w:val="en-US" w:eastAsia="zh-CN"/>
              </w:rPr>
              <w:t>40</w:t>
            </w:r>
            <w:r>
              <w:rPr>
                <w:rFonts w:hint="eastAsia"/>
                <w:sz w:val="32"/>
                <w:szCs w:val="22"/>
              </w:rPr>
              <w:t>分）</w:t>
            </w:r>
          </w:p>
        </w:tc>
        <w:tc>
          <w:tcPr>
            <w:tcW w:w="2647" w:type="dxa"/>
            <w:vAlign w:val="center"/>
          </w:tcPr>
          <w:p w14:paraId="1260AA83">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rPr>
            </w:pPr>
            <w:r>
              <w:rPr>
                <w:rFonts w:hint="eastAsia"/>
                <w:sz w:val="32"/>
                <w:szCs w:val="22"/>
              </w:rPr>
              <w:t>费率报价（</w:t>
            </w:r>
            <w:r>
              <w:rPr>
                <w:rFonts w:hint="eastAsia"/>
                <w:sz w:val="32"/>
                <w:szCs w:val="22"/>
                <w:lang w:val="en-US" w:eastAsia="zh-CN"/>
              </w:rPr>
              <w:t>40</w:t>
            </w:r>
            <w:r>
              <w:rPr>
                <w:rFonts w:hint="eastAsia"/>
                <w:sz w:val="32"/>
                <w:szCs w:val="22"/>
              </w:rPr>
              <w:t>分）</w:t>
            </w:r>
          </w:p>
        </w:tc>
        <w:tc>
          <w:tcPr>
            <w:tcW w:w="5695" w:type="dxa"/>
            <w:vAlign w:val="center"/>
          </w:tcPr>
          <w:p w14:paraId="261996A9">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eastAsia"/>
                <w:sz w:val="32"/>
                <w:szCs w:val="22"/>
              </w:rPr>
            </w:pPr>
            <w:r>
              <w:rPr>
                <w:rFonts w:hint="eastAsia"/>
                <w:sz w:val="32"/>
                <w:szCs w:val="22"/>
              </w:rPr>
              <w:t>投标报价得分=（最低报价÷本单位报价）×100%×</w:t>
            </w:r>
            <w:r>
              <w:rPr>
                <w:rFonts w:hint="eastAsia"/>
                <w:sz w:val="32"/>
                <w:szCs w:val="22"/>
                <w:lang w:val="en-US" w:eastAsia="zh-CN"/>
              </w:rPr>
              <w:t>40</w:t>
            </w:r>
          </w:p>
        </w:tc>
      </w:tr>
    </w:tbl>
    <w:p w14:paraId="23EC07EB">
      <w:pPr>
        <w:bidi w:val="0"/>
        <w:ind w:left="0" w:leftChars="0" w:firstLine="0" w:firstLineChars="0"/>
      </w:pPr>
      <w:r>
        <w:rPr>
          <w:rFonts w:hint="eastAsia"/>
          <w:lang w:val="en-US" w:eastAsia="zh-CN"/>
        </w:rPr>
        <w:t>综合评分法得分最高者中选，如综合评分相同时，报价费率低者中选。</w:t>
      </w:r>
    </w:p>
    <w:sectPr>
      <w:pgSz w:w="11906" w:h="16838"/>
      <w:pgMar w:top="850" w:right="1134" w:bottom="85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B78680"/>
    <w:multiLevelType w:val="multilevel"/>
    <w:tmpl w:val="6FB78680"/>
    <w:lvl w:ilvl="0" w:tentative="0">
      <w:start w:val="1"/>
      <w:numFmt w:val="chineseCounting"/>
      <w:suff w:val="nothing"/>
      <w:lvlText w:val="%1、"/>
      <w:lvlJc w:val="left"/>
      <w:pPr>
        <w:ind w:left="0" w:firstLine="0"/>
      </w:pPr>
      <w:rPr>
        <w:rFonts w:hint="eastAsia" w:ascii="仿宋" w:hAnsi="仿宋" w:eastAsia="仿宋" w:cs="Times New Roman"/>
      </w:rPr>
    </w:lvl>
    <w:lvl w:ilvl="1" w:tentative="0">
      <w:start w:val="1"/>
      <w:numFmt w:val="decimal"/>
      <w:suff w:val="nothing"/>
      <w:lvlText w:val="%2．"/>
      <w:lvlJc w:val="left"/>
      <w:pPr>
        <w:tabs>
          <w:tab w:val="left" w:pos="0"/>
        </w:tabs>
        <w:ind w:left="0" w:firstLine="0"/>
      </w:pPr>
      <w:rPr>
        <w:rFonts w:hint="eastAsia" w:ascii="仿宋" w:hAnsi="仿宋" w:eastAsia="仿宋" w:cs="Times New Roman"/>
      </w:rPr>
    </w:lvl>
    <w:lvl w:ilvl="2" w:tentative="0">
      <w:start w:val="1"/>
      <w:numFmt w:val="decimal"/>
      <w:suff w:val="space"/>
      <w:lvlText w:val="(%3)"/>
      <w:lvlJc w:val="left"/>
      <w:pPr>
        <w:tabs>
          <w:tab w:val="left" w:pos="420"/>
        </w:tabs>
        <w:ind w:left="0" w:firstLine="0"/>
      </w:pPr>
      <w:rPr>
        <w:rFonts w:hint="eastAsia" w:ascii="仿宋" w:hAnsi="仿宋" w:eastAsia="仿宋" w:cs="Times New Roman"/>
      </w:rPr>
    </w:lvl>
    <w:lvl w:ilvl="3" w:tentative="0">
      <w:start w:val="1"/>
      <w:numFmt w:val="decimalEnclosedCircleChinese"/>
      <w:suff w:val="nothing"/>
      <w:lvlText w:val="%4 "/>
      <w:lvlJc w:val="left"/>
      <w:pPr>
        <w:ind w:left="0" w:firstLine="0"/>
      </w:pPr>
      <w:rPr>
        <w:rFonts w:hint="eastAsia" w:ascii="仿宋" w:hAnsi="仿宋" w:eastAsia="仿宋" w:cs="Times New Roman"/>
      </w:rPr>
    </w:lvl>
    <w:lvl w:ilvl="4" w:tentative="0">
      <w:start w:val="1"/>
      <w:numFmt w:val="decimal"/>
      <w:pStyle w:val="6"/>
      <w:suff w:val="nothing"/>
      <w:lvlText w:val="%5）"/>
      <w:lvlJc w:val="left"/>
      <w:pPr>
        <w:ind w:left="0" w:firstLine="0"/>
      </w:pPr>
      <w:rPr>
        <w:rFonts w:hint="eastAsia" w:ascii="仿宋" w:hAnsi="仿宋" w:eastAsia="仿宋" w:cs="Times New Roman"/>
      </w:rPr>
    </w:lvl>
    <w:lvl w:ilvl="5" w:tentative="0">
      <w:start w:val="1"/>
      <w:numFmt w:val="lowerLetter"/>
      <w:pStyle w:val="7"/>
      <w:suff w:val="nothing"/>
      <w:lvlText w:val="%6．"/>
      <w:lvlJc w:val="left"/>
      <w:pPr>
        <w:ind w:left="0" w:firstLine="0"/>
      </w:pPr>
      <w:rPr>
        <w:rFonts w:hint="eastAsia" w:ascii="仿宋" w:hAnsi="仿宋" w:eastAsia="仿宋" w:cs="Times New Roman"/>
      </w:rPr>
    </w:lvl>
    <w:lvl w:ilvl="6" w:tentative="0">
      <w:start w:val="1"/>
      <w:numFmt w:val="lowerLetter"/>
      <w:pStyle w:val="8"/>
      <w:suff w:val="nothing"/>
      <w:lvlText w:val="%7）"/>
      <w:lvlJc w:val="left"/>
      <w:pPr>
        <w:ind w:left="0" w:firstLine="0"/>
      </w:pPr>
      <w:rPr>
        <w:rFonts w:hint="eastAsia" w:ascii="仿宋" w:hAnsi="仿宋" w:eastAsia="仿宋" w:cs="Times New Roman"/>
      </w:rPr>
    </w:lvl>
    <w:lvl w:ilvl="7" w:tentative="0">
      <w:start w:val="1"/>
      <w:numFmt w:val="lowerRoman"/>
      <w:pStyle w:val="9"/>
      <w:suff w:val="nothing"/>
      <w:lvlText w:val="%8. "/>
      <w:lvlJc w:val="left"/>
      <w:pPr>
        <w:tabs>
          <w:tab w:val="left" w:pos="0"/>
        </w:tabs>
        <w:ind w:left="0" w:firstLine="0"/>
      </w:pPr>
      <w:rPr>
        <w:rFonts w:hint="eastAsia" w:ascii="仿宋" w:hAnsi="仿宋" w:eastAsia="仿宋" w:cs="Times New Roman"/>
      </w:rPr>
    </w:lvl>
    <w:lvl w:ilvl="8" w:tentative="0">
      <w:start w:val="1"/>
      <w:numFmt w:val="lowerRoman"/>
      <w:pStyle w:val="10"/>
      <w:suff w:val="nothing"/>
      <w:lvlText w:val="%9）"/>
      <w:lvlJc w:val="left"/>
      <w:pPr>
        <w:ind w:left="0" w:firstLine="0"/>
      </w:pPr>
      <w:rPr>
        <w:rFonts w:hint="eastAsia" w:ascii="仿宋" w:hAnsi="仿宋" w:eastAsia="仿宋"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xZmZhY2M5Yzk3ZjgyOTEwMzViYjJhYWIwODM3Y2MifQ=="/>
  </w:docVars>
  <w:rsids>
    <w:rsidRoot w:val="00000000"/>
    <w:rsid w:val="012B3476"/>
    <w:rsid w:val="0A5E1814"/>
    <w:rsid w:val="14A53BA2"/>
    <w:rsid w:val="1779212E"/>
    <w:rsid w:val="1D304BE4"/>
    <w:rsid w:val="1EE05B4F"/>
    <w:rsid w:val="1F2C5185"/>
    <w:rsid w:val="20F45451"/>
    <w:rsid w:val="230D6F81"/>
    <w:rsid w:val="27721DCC"/>
    <w:rsid w:val="29871AEB"/>
    <w:rsid w:val="2AB253C7"/>
    <w:rsid w:val="2BDE3D91"/>
    <w:rsid w:val="2EBC18D7"/>
    <w:rsid w:val="2F2D046C"/>
    <w:rsid w:val="2FC242FE"/>
    <w:rsid w:val="32CF5408"/>
    <w:rsid w:val="34D76ADF"/>
    <w:rsid w:val="37D01583"/>
    <w:rsid w:val="38B00A63"/>
    <w:rsid w:val="4B2E50F8"/>
    <w:rsid w:val="55CD7E0B"/>
    <w:rsid w:val="56112F2F"/>
    <w:rsid w:val="58057745"/>
    <w:rsid w:val="5F292E8D"/>
    <w:rsid w:val="60773933"/>
    <w:rsid w:val="665C5C0C"/>
    <w:rsid w:val="674638D0"/>
    <w:rsid w:val="683D48EC"/>
    <w:rsid w:val="68A92CDA"/>
    <w:rsid w:val="69E268E0"/>
    <w:rsid w:val="6D693A75"/>
    <w:rsid w:val="6FA605BF"/>
    <w:rsid w:val="711710AD"/>
    <w:rsid w:val="74DC7D7A"/>
    <w:rsid w:val="7F4137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880" w:firstLineChars="200"/>
      <w:jc w:val="both"/>
    </w:pPr>
    <w:rPr>
      <w:rFonts w:ascii="Times New Roman" w:hAnsi="Times New Roman" w:eastAsia="仿宋_GB2312" w:cstheme="minorBidi"/>
      <w:kern w:val="2"/>
      <w:sz w:val="32"/>
      <w:szCs w:val="22"/>
      <w:lang w:val="en-US" w:eastAsia="zh-CN" w:bidi="ar-SA"/>
    </w:rPr>
  </w:style>
  <w:style w:type="paragraph" w:styleId="2">
    <w:name w:val="heading 1"/>
    <w:basedOn w:val="1"/>
    <w:next w:val="1"/>
    <w:link w:val="23"/>
    <w:qFormat/>
    <w:uiPriority w:val="9"/>
    <w:pPr>
      <w:autoSpaceDE/>
      <w:autoSpaceDN/>
      <w:adjustRightInd w:val="0"/>
      <w:snapToGrid w:val="0"/>
      <w:spacing w:line="560" w:lineRule="exact"/>
      <w:ind w:left="0" w:firstLine="0" w:firstLineChars="0"/>
      <w:jc w:val="left"/>
      <w:outlineLvl w:val="0"/>
    </w:pPr>
    <w:rPr>
      <w:rFonts w:ascii="方正公文小标宋" w:hAnsi="方正公文小标宋" w:eastAsia="黑体" w:cs="方正公文小标宋"/>
      <w:kern w:val="0"/>
      <w:szCs w:val="44"/>
    </w:rPr>
  </w:style>
  <w:style w:type="paragraph" w:styleId="3">
    <w:name w:val="heading 2"/>
    <w:basedOn w:val="1"/>
    <w:next w:val="1"/>
    <w:link w:val="24"/>
    <w:unhideWhenUsed/>
    <w:qFormat/>
    <w:uiPriority w:val="9"/>
    <w:pPr>
      <w:autoSpaceDE/>
      <w:autoSpaceDN/>
      <w:adjustRightInd w:val="0"/>
      <w:snapToGrid w:val="0"/>
      <w:spacing w:line="560" w:lineRule="exact"/>
      <w:ind w:left="0" w:firstLine="0" w:firstLineChars="0"/>
      <w:jc w:val="left"/>
      <w:outlineLvl w:val="1"/>
    </w:pPr>
    <w:rPr>
      <w:rFonts w:eastAsia="楷体_GB2312" w:asciiTheme="minorAscii" w:hAnsiTheme="minorAscii"/>
      <w:kern w:val="0"/>
      <w:szCs w:val="32"/>
    </w:rPr>
  </w:style>
  <w:style w:type="paragraph" w:styleId="4">
    <w:name w:val="heading 3"/>
    <w:basedOn w:val="1"/>
    <w:next w:val="1"/>
    <w:link w:val="25"/>
    <w:semiHidden/>
    <w:unhideWhenUsed/>
    <w:qFormat/>
    <w:uiPriority w:val="9"/>
    <w:pPr>
      <w:autoSpaceDE/>
      <w:autoSpaceDN/>
      <w:adjustRightInd w:val="0"/>
      <w:snapToGrid w:val="0"/>
      <w:spacing w:line="560" w:lineRule="exact"/>
      <w:ind w:left="0" w:right="0" w:firstLine="0" w:firstLineChars="0"/>
      <w:jc w:val="left"/>
      <w:outlineLvl w:val="2"/>
    </w:pPr>
    <w:rPr>
      <w:rFonts w:ascii="方正公文小标宋" w:hAnsi="方正公文小标宋" w:eastAsia="仿宋_GB2312" w:cs="方正公文小标宋"/>
      <w:b/>
      <w:sz w:val="32"/>
      <w:szCs w:val="32"/>
    </w:rPr>
  </w:style>
  <w:style w:type="paragraph" w:styleId="5">
    <w:name w:val="heading 4"/>
    <w:basedOn w:val="1"/>
    <w:next w:val="1"/>
    <w:link w:val="26"/>
    <w:semiHidden/>
    <w:unhideWhenUsed/>
    <w:qFormat/>
    <w:uiPriority w:val="9"/>
    <w:pPr>
      <w:autoSpaceDE/>
      <w:autoSpaceDN/>
      <w:adjustRightInd w:val="0"/>
      <w:snapToGrid w:val="0"/>
      <w:spacing w:line="560" w:lineRule="exact"/>
      <w:ind w:left="0" w:firstLine="0" w:firstLineChars="0"/>
      <w:jc w:val="left"/>
      <w:outlineLvl w:val="3"/>
    </w:pPr>
    <w:rPr>
      <w:rFonts w:ascii="方正公文小标宋" w:hAnsi="方正公文小标宋" w:eastAsia="仿宋_GB2312" w:cs="方正公文小标宋"/>
      <w:kern w:val="0"/>
      <w:sz w:val="32"/>
      <w:szCs w:val="30"/>
    </w:rPr>
  </w:style>
  <w:style w:type="paragraph" w:styleId="6">
    <w:name w:val="heading 5"/>
    <w:basedOn w:val="1"/>
    <w:next w:val="1"/>
    <w:link w:val="27"/>
    <w:semiHidden/>
    <w:unhideWhenUsed/>
    <w:qFormat/>
    <w:uiPriority w:val="0"/>
    <w:pPr>
      <w:keepNext/>
      <w:keepLines/>
      <w:numPr>
        <w:ilvl w:val="4"/>
        <w:numId w:val="1"/>
      </w:numPr>
      <w:spacing w:beforeLines="0" w:afterLines="0" w:line="360" w:lineRule="auto"/>
      <w:ind w:firstLine="0" w:firstLineChars="0"/>
      <w:outlineLvl w:val="4"/>
    </w:pPr>
    <w:rPr>
      <w:rFonts w:eastAsia="黑体"/>
      <w:b/>
      <w:bCs/>
      <w:sz w:val="21"/>
      <w:szCs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0"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0"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0" w:firstLineChars="0"/>
      <w:outlineLvl w:val="8"/>
    </w:pPr>
    <w:rPr>
      <w:rFonts w:ascii="Arial" w:hAnsi="Arial" w:eastAsia="黑体"/>
      <w:sz w:val="21"/>
    </w:rPr>
  </w:style>
  <w:style w:type="character" w:default="1" w:styleId="20">
    <w:name w:val="Default Paragraph Font"/>
    <w:semiHidden/>
    <w:unhideWhenUsed/>
    <w:qFormat/>
    <w:uiPriority w:val="1"/>
  </w:style>
  <w:style w:type="table" w:default="1" w:styleId="18">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Body Text"/>
    <w:basedOn w:val="1"/>
    <w:qFormat/>
    <w:uiPriority w:val="1"/>
    <w:pPr>
      <w:ind w:left="240"/>
    </w:pPr>
    <w:rPr>
      <w:sz w:val="21"/>
      <w:szCs w:val="21"/>
    </w:rPr>
  </w:style>
  <w:style w:type="paragraph" w:styleId="13">
    <w:name w:val="Body Text Indent"/>
    <w:basedOn w:val="1"/>
    <w:qFormat/>
    <w:uiPriority w:val="0"/>
    <w:pPr>
      <w:spacing w:after="120" w:afterLines="0" w:afterAutospacing="0"/>
      <w:ind w:left="420" w:leftChars="200"/>
    </w:pPr>
  </w:style>
  <w:style w:type="paragraph" w:styleId="14">
    <w:name w:val="footer"/>
    <w:basedOn w:val="1"/>
    <w:link w:val="31"/>
    <w:unhideWhenUsed/>
    <w:qFormat/>
    <w:uiPriority w:val="99"/>
    <w:pPr>
      <w:tabs>
        <w:tab w:val="center" w:pos="4153"/>
        <w:tab w:val="right" w:pos="8306"/>
      </w:tabs>
      <w:snapToGrid w:val="0"/>
      <w:jc w:val="left"/>
    </w:pPr>
    <w:rPr>
      <w:sz w:val="18"/>
      <w:szCs w:val="18"/>
    </w:rPr>
  </w:style>
  <w:style w:type="paragraph" w:styleId="15">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7">
    <w:name w:val="Body Text First Indent 2"/>
    <w:basedOn w:val="13"/>
    <w:qFormat/>
    <w:uiPriority w:val="0"/>
    <w:pPr>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paragraph" w:customStyle="1" w:styleId="22">
    <w:name w:val="toc 21"/>
    <w:next w:val="1"/>
    <w:qFormat/>
    <w:uiPriority w:val="0"/>
    <w:pPr>
      <w:wordWrap w:val="0"/>
      <w:ind w:left="425"/>
      <w:jc w:val="both"/>
    </w:pPr>
    <w:rPr>
      <w:rFonts w:ascii="Times New Roman" w:hAnsi="Times New Roman" w:eastAsia="宋体" w:cs="Times New Roman"/>
      <w:sz w:val="21"/>
      <w:lang w:val="en-US" w:eastAsia="zh-CN" w:bidi="ar-SA"/>
    </w:rPr>
  </w:style>
  <w:style w:type="character" w:customStyle="1" w:styleId="23">
    <w:name w:val="标题 1 Char"/>
    <w:link w:val="2"/>
    <w:qFormat/>
    <w:uiPriority w:val="0"/>
    <w:rPr>
      <w:rFonts w:ascii="方正公文小标宋" w:hAnsi="方正公文小标宋" w:eastAsia="黑体" w:cs="方正公文小标宋"/>
      <w:kern w:val="0"/>
      <w:szCs w:val="44"/>
    </w:rPr>
  </w:style>
  <w:style w:type="character" w:customStyle="1" w:styleId="24">
    <w:name w:val="标题 2 Char"/>
    <w:link w:val="3"/>
    <w:qFormat/>
    <w:uiPriority w:val="0"/>
    <w:rPr>
      <w:rFonts w:eastAsia="楷体_GB2312" w:asciiTheme="minorAscii" w:hAnsiTheme="minorAscii"/>
      <w:kern w:val="0"/>
      <w:szCs w:val="32"/>
    </w:rPr>
  </w:style>
  <w:style w:type="character" w:customStyle="1" w:styleId="25">
    <w:name w:val="标题 3 Char"/>
    <w:link w:val="4"/>
    <w:qFormat/>
    <w:uiPriority w:val="0"/>
    <w:rPr>
      <w:rFonts w:ascii="方正公文小标宋" w:hAnsi="方正公文小标宋" w:eastAsia="仿宋_GB2312" w:cs="方正公文小标宋"/>
      <w:b/>
      <w:sz w:val="32"/>
      <w:szCs w:val="32"/>
    </w:rPr>
  </w:style>
  <w:style w:type="character" w:customStyle="1" w:styleId="26">
    <w:name w:val="标题 4 Char"/>
    <w:link w:val="5"/>
    <w:qFormat/>
    <w:uiPriority w:val="0"/>
    <w:rPr>
      <w:rFonts w:ascii="方正公文小标宋" w:hAnsi="方正公文小标宋" w:eastAsia="仿宋_GB2312" w:cs="方正公文小标宋"/>
      <w:kern w:val="0"/>
      <w:sz w:val="32"/>
      <w:szCs w:val="30"/>
    </w:rPr>
  </w:style>
  <w:style w:type="character" w:customStyle="1" w:styleId="27">
    <w:name w:val="标题 5 Char"/>
    <w:link w:val="6"/>
    <w:qFormat/>
    <w:uiPriority w:val="0"/>
    <w:rPr>
      <w:rFonts w:eastAsia="黑体"/>
      <w:b/>
      <w:bCs/>
      <w:sz w:val="21"/>
      <w:szCs w:val="28"/>
    </w:rPr>
  </w:style>
  <w:style w:type="paragraph" w:customStyle="1" w:styleId="28">
    <w:name w:val="大标题"/>
    <w:basedOn w:val="1"/>
    <w:qFormat/>
    <w:uiPriority w:val="0"/>
    <w:pPr>
      <w:spacing w:line="640" w:lineRule="exact"/>
      <w:ind w:firstLine="0" w:firstLineChars="0"/>
      <w:jc w:val="center"/>
    </w:pPr>
    <w:rPr>
      <w:rFonts w:hint="eastAsia" w:ascii="方正小标宋简体" w:hAnsi="方正小标宋简体" w:eastAsia="方正小标宋简体" w:cs="Times New Roman"/>
      <w:sz w:val="44"/>
      <w:szCs w:val="44"/>
    </w:rPr>
  </w:style>
  <w:style w:type="paragraph" w:styleId="29">
    <w:name w:val="List Paragraph"/>
    <w:basedOn w:val="1"/>
    <w:qFormat/>
    <w:uiPriority w:val="34"/>
    <w:pPr>
      <w:ind w:firstLine="420" w:firstLineChars="200"/>
    </w:pPr>
  </w:style>
  <w:style w:type="character" w:customStyle="1" w:styleId="30">
    <w:name w:val="页眉 字符"/>
    <w:basedOn w:val="20"/>
    <w:link w:val="15"/>
    <w:qFormat/>
    <w:uiPriority w:val="99"/>
    <w:rPr>
      <w:sz w:val="18"/>
      <w:szCs w:val="18"/>
    </w:rPr>
  </w:style>
  <w:style w:type="character" w:customStyle="1" w:styleId="31">
    <w:name w:val="页脚 字符"/>
    <w:basedOn w:val="20"/>
    <w:link w:val="14"/>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404</Words>
  <Characters>445</Characters>
  <Lines>0</Lines>
  <Paragraphs>0</Paragraphs>
  <TotalTime>12</TotalTime>
  <ScaleCrop>false</ScaleCrop>
  <LinksUpToDate>false</LinksUpToDate>
  <CharactersWithSpaces>447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2023-10-26T01:22:00Z</dcterms:created>
  <dc:creator>CMGE-PC</dc:creator>
  <cp:lastModifiedBy>AlwaysLucky</cp:lastModifiedBy>
  <dcterms:modified xsi:type="dcterms:W3CDTF">2026-08-21T02:10:42Z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30D541A2FD2A486180F02F532DBDDDB6_13</vt:lpwstr>
  </property>
  <property fmtid="{D5CDD505-2E9C-101B-9397-08002B2CF9AE}" pid="4" name="KSOTemplateDocerSaveRecord">
    <vt:lpwstr>eyJoZGlkIjoiNzQ2NzM3NDQ0MGY1NTgxNGY2Yzg4NzgxNjAzYTM3NmYiLCJ1c2VySWQiOiI4MzgxOTM3MTYifQ==</vt:lpwstr>
  </property>
</Properties>
</file>