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6531">
      <w:pPr>
        <w:rPr>
          <w:color w:val="auto"/>
        </w:rPr>
      </w:pPr>
    </w:p>
    <w:p w14:paraId="7661C18E">
      <w:pPr>
        <w:pStyle w:val="23"/>
        <w:tabs>
          <w:tab w:val="left" w:pos="420"/>
        </w:tabs>
        <w:ind w:left="420" w:hanging="420"/>
        <w:rPr>
          <w:color w:val="auto"/>
        </w:rPr>
      </w:pPr>
      <w:bookmarkStart w:id="0" w:name="_Toc99791406"/>
      <w:bookmarkStart w:id="1" w:name="_Toc99788664"/>
      <w:bookmarkStart w:id="2" w:name="_Toc114494260"/>
      <w:r>
        <w:rPr>
          <w:rFonts w:hint="eastAsia"/>
          <w:color w:val="auto"/>
        </w:rPr>
        <w:t>水泵总体要求</w:t>
      </w:r>
      <w:bookmarkEnd w:id="0"/>
      <w:bookmarkEnd w:id="1"/>
      <w:bookmarkEnd w:id="2"/>
    </w:p>
    <w:p w14:paraId="1F4B6BC2">
      <w:pPr>
        <w:spacing w:line="360" w:lineRule="auto"/>
        <w:ind w:firstLine="480" w:firstLineChars="200"/>
        <w:rPr>
          <w:color w:val="auto"/>
          <w:sz w:val="24"/>
        </w:rPr>
      </w:pPr>
      <w:r>
        <w:rPr>
          <w:rFonts w:hint="eastAsia"/>
          <w:color w:val="auto"/>
          <w:sz w:val="24"/>
        </w:rPr>
        <w:t>1、供货范围详见后附设计文件设备清单。</w:t>
      </w:r>
    </w:p>
    <w:p w14:paraId="2B71BF07">
      <w:pPr>
        <w:spacing w:line="360" w:lineRule="auto"/>
        <w:ind w:firstLine="480" w:firstLineChars="200"/>
        <w:rPr>
          <w:color w:val="auto"/>
          <w:sz w:val="24"/>
        </w:rPr>
      </w:pPr>
      <w:r>
        <w:rPr>
          <w:color w:val="auto"/>
          <w:sz w:val="24"/>
        </w:rPr>
        <w:t>2、本次招标产品</w:t>
      </w:r>
      <w:r>
        <w:rPr>
          <w:rFonts w:hint="eastAsia"/>
          <w:color w:val="auto"/>
          <w:sz w:val="24"/>
        </w:rPr>
        <w:t>应为国际知名品牌</w:t>
      </w:r>
      <w:r>
        <w:rPr>
          <w:color w:val="auto"/>
          <w:sz w:val="24"/>
        </w:rPr>
        <w:t>产品</w:t>
      </w:r>
      <w:r>
        <w:rPr>
          <w:rFonts w:hint="eastAsia"/>
          <w:color w:val="auto"/>
          <w:sz w:val="24"/>
        </w:rPr>
        <w:t>。</w:t>
      </w:r>
    </w:p>
    <w:p w14:paraId="45BA494F">
      <w:pPr>
        <w:spacing w:line="360" w:lineRule="auto"/>
        <w:ind w:firstLine="480" w:firstLineChars="200"/>
        <w:rPr>
          <w:color w:val="auto"/>
          <w:sz w:val="24"/>
        </w:rPr>
      </w:pPr>
      <w:r>
        <w:rPr>
          <w:rFonts w:hint="eastAsia"/>
          <w:color w:val="auto"/>
          <w:sz w:val="24"/>
        </w:rPr>
        <w:t>3、所供设备必须是全新的合格设备，是在投标时该生产厂家近年来定型投产的该规格型号最新的成熟产品。投标人应提供所供产品的制造厂名称（全称）、产地及生产历史，并提供最新产品样本及说明。本次招标技术要求仅提供本项目所需水泵主要的亦即最低限度的技术要求，未对水泵设计制造所需的全部技术要求进行完整、详细的描述，投标人应以本技术标书为基本条件，负责水泵的设计，提供满足本技术标书和有关标准规范的整套成熟产品。</w:t>
      </w:r>
    </w:p>
    <w:p w14:paraId="169B2668">
      <w:pPr>
        <w:spacing w:line="360" w:lineRule="auto"/>
        <w:ind w:firstLine="480" w:firstLineChars="200"/>
        <w:rPr>
          <w:color w:val="auto"/>
          <w:sz w:val="24"/>
        </w:rPr>
      </w:pPr>
      <w:r>
        <w:rPr>
          <w:rFonts w:hint="eastAsia"/>
          <w:color w:val="auto"/>
          <w:sz w:val="24"/>
        </w:rPr>
        <w:t>4、生产制造商生产水泵的历史应当保证在50年以上，投标时提供证明文件，具备丰富的水泵加工、制造、装配、检验等经验。</w:t>
      </w:r>
    </w:p>
    <w:p w14:paraId="591D1AED">
      <w:pPr>
        <w:spacing w:line="360" w:lineRule="auto"/>
        <w:ind w:firstLine="480" w:firstLineChars="200"/>
        <w:rPr>
          <w:color w:val="auto"/>
          <w:sz w:val="24"/>
        </w:rPr>
      </w:pPr>
      <w:r>
        <w:rPr>
          <w:rFonts w:hint="eastAsia"/>
          <w:color w:val="auto"/>
          <w:sz w:val="24"/>
        </w:rPr>
        <w:t>5、投标人应对投标内容所涉及的技术专利承担责任并确保真实性，并负责保护招标人的利益不受任何损害。一切由于文字、商标和技术专利侵权引起的法律裁决、诉讼和有关费用均与招标人无关。</w:t>
      </w:r>
    </w:p>
    <w:p w14:paraId="4C9EEA50">
      <w:pPr>
        <w:spacing w:line="360" w:lineRule="auto"/>
        <w:ind w:firstLine="480" w:firstLineChars="200"/>
        <w:rPr>
          <w:color w:val="auto"/>
          <w:sz w:val="24"/>
        </w:rPr>
      </w:pPr>
      <w:r>
        <w:rPr>
          <w:rFonts w:hint="eastAsia"/>
          <w:color w:val="auto"/>
          <w:sz w:val="24"/>
        </w:rPr>
        <w:t>6、投标人必须对本技术标书提出的技术要求逐项作出实质性的应答，如有偏离应将偏离情况编成“技术规格偏离表”。</w:t>
      </w:r>
    </w:p>
    <w:p w14:paraId="078FCE57">
      <w:pPr>
        <w:spacing w:line="360" w:lineRule="auto"/>
        <w:ind w:firstLine="480" w:firstLineChars="200"/>
        <w:rPr>
          <w:color w:val="auto"/>
          <w:sz w:val="24"/>
        </w:rPr>
      </w:pPr>
      <w:r>
        <w:rPr>
          <w:color w:val="auto"/>
          <w:sz w:val="24"/>
        </w:rPr>
        <w:t>7、投标人必须提供每台水泵的效率曲线、流量和扬程曲线、功率曲线，水泵的效率曲线、流量和扬程曲线、功率曲线必须有较宽的高效区，必须平稳地从设计点上升到关闭点，任何条件下水泵均能稳定运行。</w:t>
      </w:r>
      <w:r>
        <w:rPr>
          <w:rFonts w:hint="eastAsia"/>
          <w:color w:val="auto"/>
          <w:sz w:val="24"/>
        </w:rPr>
        <w:t>在整个流量范围内，水泵均能正常运行，不会出现过载问题；</w:t>
      </w:r>
    </w:p>
    <w:p w14:paraId="32EB99D3">
      <w:pPr>
        <w:spacing w:line="360" w:lineRule="auto"/>
        <w:ind w:firstLine="480" w:firstLineChars="200"/>
        <w:rPr>
          <w:color w:val="auto"/>
          <w:sz w:val="24"/>
        </w:rPr>
      </w:pPr>
      <w:r>
        <w:rPr>
          <w:color w:val="auto"/>
          <w:sz w:val="24"/>
        </w:rPr>
        <w:t>8、水泵的设计应满足设计负荷条件下平稳运行，以降低噪声和振动。</w:t>
      </w:r>
    </w:p>
    <w:p w14:paraId="137912AA">
      <w:pPr>
        <w:spacing w:line="360" w:lineRule="auto"/>
        <w:ind w:firstLine="480" w:firstLineChars="200"/>
        <w:rPr>
          <w:color w:val="auto"/>
          <w:sz w:val="24"/>
        </w:rPr>
      </w:pPr>
      <w:r>
        <w:rPr>
          <w:color w:val="auto"/>
          <w:sz w:val="24"/>
        </w:rPr>
        <w:t>9、设备维护应简单易行，投标人须提供维护保养操作说明。</w:t>
      </w:r>
    </w:p>
    <w:p w14:paraId="26CDC386">
      <w:pPr>
        <w:spacing w:line="360" w:lineRule="auto"/>
        <w:ind w:firstLine="480" w:firstLineChars="200"/>
        <w:rPr>
          <w:color w:val="auto"/>
          <w:sz w:val="24"/>
        </w:rPr>
      </w:pPr>
      <w:r>
        <w:rPr>
          <w:color w:val="auto"/>
          <w:sz w:val="24"/>
        </w:rPr>
        <w:t>10、低负荷运行时，要求该工况下水泵运行时有较高的效率和良好的抗气蚀性能。</w:t>
      </w:r>
    </w:p>
    <w:p w14:paraId="3ED2B542">
      <w:pPr>
        <w:spacing w:line="360" w:lineRule="auto"/>
        <w:ind w:firstLine="480" w:firstLineChars="200"/>
        <w:rPr>
          <w:color w:val="auto"/>
          <w:sz w:val="24"/>
        </w:rPr>
      </w:pPr>
      <w:r>
        <w:rPr>
          <w:color w:val="auto"/>
          <w:sz w:val="24"/>
        </w:rPr>
        <w:t>11、投标人必须标明每种水泵的工作效率、轴功率以及电机功率。</w:t>
      </w:r>
    </w:p>
    <w:p w14:paraId="34808D0E">
      <w:pPr>
        <w:spacing w:line="360" w:lineRule="auto"/>
        <w:ind w:firstLine="480" w:firstLineChars="200"/>
        <w:rPr>
          <w:color w:val="auto"/>
          <w:sz w:val="24"/>
        </w:rPr>
      </w:pPr>
      <w:r>
        <w:rPr>
          <w:rFonts w:hint="eastAsia"/>
          <w:color w:val="auto"/>
          <w:sz w:val="24"/>
        </w:rPr>
        <w:t>12、水利模型必须为先进、使用、可靠的逆解法设计方式进行设计，并提供具体设计方式/方法，并在标书中给予具体描述；</w:t>
      </w:r>
    </w:p>
    <w:p w14:paraId="42B01107">
      <w:pPr>
        <w:widowControl/>
        <w:jc w:val="left"/>
        <w:rPr>
          <w:color w:val="auto"/>
        </w:rPr>
      </w:pPr>
      <w:r>
        <w:rPr>
          <w:color w:val="auto"/>
        </w:rPr>
        <w:br w:type="page"/>
      </w:r>
    </w:p>
    <w:p w14:paraId="778A0332">
      <w:pPr>
        <w:pStyle w:val="23"/>
        <w:tabs>
          <w:tab w:val="left" w:pos="420"/>
        </w:tabs>
        <w:ind w:left="420" w:hanging="420"/>
        <w:rPr>
          <w:color w:val="auto"/>
        </w:rPr>
      </w:pPr>
      <w:bookmarkStart w:id="3" w:name="_Toc99791407"/>
      <w:bookmarkStart w:id="4" w:name="_Toc99788665"/>
      <w:bookmarkStart w:id="5" w:name="_Toc114494261"/>
      <w:r>
        <w:rPr>
          <w:rFonts w:hint="eastAsia"/>
          <w:color w:val="auto"/>
        </w:rPr>
        <w:t>水泵制造标准</w:t>
      </w:r>
      <w:bookmarkEnd w:id="3"/>
      <w:bookmarkEnd w:id="4"/>
      <w:bookmarkEnd w:id="5"/>
    </w:p>
    <w:p w14:paraId="04A98436">
      <w:pPr>
        <w:spacing w:line="360" w:lineRule="auto"/>
        <w:ind w:firstLine="480" w:firstLineChars="200"/>
        <w:rPr>
          <w:color w:val="auto"/>
          <w:sz w:val="24"/>
        </w:rPr>
      </w:pPr>
      <w:r>
        <w:rPr>
          <w:rFonts w:hint="eastAsia"/>
          <w:color w:val="auto"/>
          <w:sz w:val="24"/>
        </w:rPr>
        <w:t>1、投标人提供的设备应采用最先进的技术，做到：结构合理，可靠性高，能耗低，噪音低，不污染环境，操作及维护保养简便。</w:t>
      </w:r>
    </w:p>
    <w:p w14:paraId="7641C695">
      <w:pPr>
        <w:spacing w:line="360" w:lineRule="auto"/>
        <w:ind w:firstLine="480" w:firstLineChars="200"/>
        <w:rPr>
          <w:color w:val="auto"/>
          <w:sz w:val="24"/>
        </w:rPr>
      </w:pPr>
      <w:r>
        <w:rPr>
          <w:rFonts w:hint="eastAsia"/>
          <w:color w:val="auto"/>
          <w:sz w:val="24"/>
        </w:rPr>
        <w:t>2、投标人所提供的设备，应不低于中华人民共和国和设备出产国有关水泵和泵组的设计、制造、试验、验收和安全等方面的国家标准和规范的要求，建议使用JIS标准、欧标或美标。出现差异时，以较高要求为准。</w:t>
      </w:r>
    </w:p>
    <w:p w14:paraId="546C4075">
      <w:pPr>
        <w:spacing w:line="360" w:lineRule="auto"/>
        <w:ind w:firstLine="480" w:firstLineChars="200"/>
        <w:rPr>
          <w:color w:val="auto"/>
          <w:sz w:val="24"/>
        </w:rPr>
      </w:pPr>
      <w:r>
        <w:rPr>
          <w:rFonts w:hint="eastAsia"/>
          <w:color w:val="auto"/>
          <w:sz w:val="24"/>
        </w:rPr>
        <w:t>3、相关标准包括(但不限于)以下内容：</w:t>
      </w:r>
    </w:p>
    <w:p w14:paraId="57F1ABEF">
      <w:pPr>
        <w:spacing w:line="360" w:lineRule="auto"/>
        <w:ind w:firstLine="480" w:firstLineChars="200"/>
        <w:rPr>
          <w:color w:val="auto"/>
          <w:sz w:val="24"/>
        </w:rPr>
      </w:pPr>
      <w:r>
        <w:rPr>
          <w:rFonts w:hint="eastAsia"/>
          <w:color w:val="auto"/>
          <w:sz w:val="24"/>
        </w:rPr>
        <w:t>《离心泵技术条件》GB/T5656-1994</w:t>
      </w:r>
    </w:p>
    <w:p w14:paraId="6D5DCB16">
      <w:pPr>
        <w:spacing w:line="360" w:lineRule="auto"/>
        <w:ind w:firstLine="480" w:firstLineChars="200"/>
        <w:rPr>
          <w:color w:val="auto"/>
          <w:sz w:val="24"/>
        </w:rPr>
      </w:pPr>
      <w:r>
        <w:rPr>
          <w:rFonts w:hint="eastAsia"/>
          <w:color w:val="auto"/>
          <w:sz w:val="24"/>
        </w:rPr>
        <w:t>《热水离心泵技术条件》JB/5414-1991</w:t>
      </w:r>
    </w:p>
    <w:p w14:paraId="4244EDF9">
      <w:pPr>
        <w:spacing w:line="360" w:lineRule="auto"/>
        <w:ind w:firstLine="480" w:firstLineChars="200"/>
        <w:rPr>
          <w:color w:val="auto"/>
          <w:sz w:val="24"/>
        </w:rPr>
      </w:pPr>
      <w:r>
        <w:rPr>
          <w:rFonts w:hint="eastAsia"/>
          <w:color w:val="auto"/>
          <w:sz w:val="24"/>
        </w:rPr>
        <w:t>《离心泵效率》GB/13007-1991</w:t>
      </w:r>
    </w:p>
    <w:p w14:paraId="696A4159">
      <w:pPr>
        <w:spacing w:line="360" w:lineRule="auto"/>
        <w:ind w:firstLine="480" w:firstLineChars="200"/>
        <w:rPr>
          <w:color w:val="auto"/>
          <w:sz w:val="24"/>
        </w:rPr>
      </w:pPr>
      <w:r>
        <w:rPr>
          <w:rFonts w:hint="eastAsia"/>
          <w:color w:val="auto"/>
          <w:sz w:val="24"/>
        </w:rPr>
        <w:t>《泵产品涂漆技术条件》JB/T4297-1992</w:t>
      </w:r>
    </w:p>
    <w:p w14:paraId="2C59CFA5">
      <w:pPr>
        <w:spacing w:line="360" w:lineRule="auto"/>
        <w:ind w:firstLine="480" w:firstLineChars="200"/>
        <w:rPr>
          <w:color w:val="auto"/>
          <w:sz w:val="24"/>
        </w:rPr>
      </w:pPr>
      <w:r>
        <w:rPr>
          <w:rFonts w:hint="eastAsia"/>
          <w:color w:val="auto"/>
          <w:sz w:val="24"/>
        </w:rPr>
        <w:t>《离心泵、混流泵、轴流泵汽蚀余量》GB/T13006-1991</w:t>
      </w:r>
    </w:p>
    <w:p w14:paraId="0C7FBE64">
      <w:pPr>
        <w:spacing w:line="360" w:lineRule="auto"/>
        <w:ind w:firstLine="480" w:firstLineChars="200"/>
        <w:rPr>
          <w:color w:val="auto"/>
          <w:sz w:val="24"/>
        </w:rPr>
      </w:pPr>
      <w:r>
        <w:rPr>
          <w:rFonts w:hint="eastAsia"/>
          <w:color w:val="auto"/>
          <w:sz w:val="24"/>
        </w:rPr>
        <w:t>《离心泵、混流泵、轴流泵和旋涡砂试验方法》GB/T13216-1989</w:t>
      </w:r>
    </w:p>
    <w:p w14:paraId="1BB7C6D1">
      <w:pPr>
        <w:spacing w:line="360" w:lineRule="auto"/>
        <w:ind w:firstLine="480" w:firstLineChars="200"/>
        <w:rPr>
          <w:color w:val="auto"/>
          <w:sz w:val="24"/>
        </w:rPr>
      </w:pPr>
      <w:r>
        <w:rPr>
          <w:rFonts w:hint="eastAsia"/>
          <w:color w:val="auto"/>
          <w:sz w:val="24"/>
        </w:rPr>
        <w:t>《泵的振动测量与评价方法》JB/T8097-1999</w:t>
      </w:r>
    </w:p>
    <w:p w14:paraId="7452F426">
      <w:pPr>
        <w:spacing w:line="360" w:lineRule="auto"/>
        <w:ind w:firstLine="480" w:firstLineChars="200"/>
        <w:rPr>
          <w:color w:val="auto"/>
          <w:sz w:val="24"/>
        </w:rPr>
      </w:pPr>
      <w:r>
        <w:rPr>
          <w:rFonts w:hint="eastAsia"/>
          <w:color w:val="auto"/>
          <w:sz w:val="24"/>
        </w:rPr>
        <w:t>《泵的噪声测量与评价方法》JB/T8098-1999</w:t>
      </w:r>
    </w:p>
    <w:p w14:paraId="2D6D46CC">
      <w:pPr>
        <w:spacing w:line="360" w:lineRule="auto"/>
        <w:ind w:firstLine="480" w:firstLineChars="200"/>
        <w:rPr>
          <w:color w:val="auto"/>
          <w:sz w:val="24"/>
        </w:rPr>
      </w:pPr>
      <w:r>
        <w:rPr>
          <w:rFonts w:hint="eastAsia"/>
          <w:color w:val="auto"/>
          <w:sz w:val="24"/>
        </w:rPr>
        <w:t>《离心泵、混流泵和轴流泵验收试验规范》ISO 2548-1973-C</w:t>
      </w:r>
    </w:p>
    <w:p w14:paraId="58792686">
      <w:pPr>
        <w:pStyle w:val="23"/>
        <w:tabs>
          <w:tab w:val="left" w:pos="420"/>
        </w:tabs>
        <w:ind w:left="420" w:hanging="420"/>
        <w:rPr>
          <w:color w:val="auto"/>
        </w:rPr>
      </w:pPr>
      <w:bookmarkStart w:id="6" w:name="_Toc114494263"/>
      <w:bookmarkStart w:id="7" w:name="_Toc99791409"/>
      <w:bookmarkStart w:id="8" w:name="_Toc99788667"/>
      <w:r>
        <w:rPr>
          <w:rFonts w:hint="eastAsia"/>
          <w:color w:val="auto"/>
        </w:rPr>
        <w:t>水泵质量保证及售后服务</w:t>
      </w:r>
      <w:bookmarkEnd w:id="6"/>
      <w:bookmarkEnd w:id="7"/>
      <w:bookmarkEnd w:id="8"/>
    </w:p>
    <w:p w14:paraId="3AC7D04D">
      <w:pPr>
        <w:spacing w:line="360" w:lineRule="auto"/>
        <w:ind w:firstLine="480" w:firstLineChars="200"/>
        <w:rPr>
          <w:color w:val="auto"/>
          <w:sz w:val="24"/>
        </w:rPr>
      </w:pPr>
      <w:r>
        <w:rPr>
          <w:rFonts w:hint="eastAsia"/>
          <w:color w:val="auto"/>
          <w:sz w:val="24"/>
        </w:rPr>
        <w:t>1、投标人提供的售后服务必须由水泵生产厂家技术人员进行，拒绝代理商和联合投标人提供；</w:t>
      </w:r>
    </w:p>
    <w:p w14:paraId="1E8EE9D9">
      <w:pPr>
        <w:spacing w:line="360" w:lineRule="auto"/>
        <w:ind w:firstLine="480" w:firstLineChars="200"/>
        <w:rPr>
          <w:color w:val="auto"/>
          <w:sz w:val="24"/>
        </w:rPr>
      </w:pPr>
      <w:r>
        <w:rPr>
          <w:rFonts w:hint="eastAsia"/>
          <w:color w:val="auto"/>
          <w:sz w:val="24"/>
        </w:rPr>
        <w:t>2、投标人应提供完整的售后服务方案、售后服务承诺书、培训计划书。</w:t>
      </w:r>
    </w:p>
    <w:p w14:paraId="6BADF56F">
      <w:pPr>
        <w:spacing w:line="360" w:lineRule="auto"/>
        <w:ind w:firstLine="480" w:firstLineChars="200"/>
        <w:rPr>
          <w:color w:val="auto"/>
          <w:sz w:val="24"/>
        </w:rPr>
      </w:pPr>
      <w:r>
        <w:rPr>
          <w:rFonts w:hint="eastAsia"/>
          <w:color w:val="auto"/>
          <w:sz w:val="24"/>
        </w:rPr>
        <w:t>3、投标人应保证备品备件及时供应，应于生产厂家设有固定的大型备件仓库。</w:t>
      </w:r>
    </w:p>
    <w:p w14:paraId="0BAD87BB">
      <w:pPr>
        <w:spacing w:line="360" w:lineRule="auto"/>
        <w:ind w:firstLine="480" w:firstLineChars="200"/>
        <w:rPr>
          <w:color w:val="auto"/>
          <w:sz w:val="24"/>
        </w:rPr>
      </w:pPr>
      <w:r>
        <w:rPr>
          <w:rFonts w:hint="eastAsia"/>
          <w:color w:val="auto"/>
          <w:sz w:val="24"/>
        </w:rPr>
        <w:t>4、产品使用地应设立常驻维修机构，处理所有报修服务，该服务必须是24小时内提供的（每年每天、包括节假日），在接到报修通知后2小时予以响应，8小时到达现场，维护维修必须连续进行，直至故障修复，完全恢复正常运行为止。该维修机构须备有足够的零备件，以满足招标人的维修需要。</w:t>
      </w:r>
    </w:p>
    <w:p w14:paraId="31C286B2">
      <w:pPr>
        <w:pStyle w:val="23"/>
        <w:tabs>
          <w:tab w:val="left" w:pos="420"/>
        </w:tabs>
        <w:ind w:left="420" w:hanging="420"/>
        <w:rPr>
          <w:color w:val="auto"/>
        </w:rPr>
      </w:pPr>
      <w:bookmarkStart w:id="9" w:name="_Toc192650072"/>
      <w:bookmarkStart w:id="10" w:name="_Toc188265392"/>
      <w:bookmarkStart w:id="11" w:name="_Toc99788668"/>
      <w:bookmarkStart w:id="12" w:name="_Toc114494264"/>
      <w:bookmarkStart w:id="13" w:name="_Toc99791410"/>
      <w:r>
        <w:rPr>
          <w:rFonts w:hint="eastAsia"/>
          <w:color w:val="auto"/>
        </w:rPr>
        <w:t>水泵技术规格</w:t>
      </w:r>
      <w:bookmarkEnd w:id="9"/>
      <w:bookmarkEnd w:id="10"/>
      <w:r>
        <w:rPr>
          <w:rFonts w:hint="eastAsia"/>
          <w:color w:val="auto"/>
        </w:rPr>
        <w:t>要求</w:t>
      </w:r>
      <w:bookmarkEnd w:id="11"/>
      <w:bookmarkEnd w:id="12"/>
      <w:bookmarkEnd w:id="13"/>
    </w:p>
    <w:p w14:paraId="1823DA5D">
      <w:pPr>
        <w:pStyle w:val="24"/>
        <w:tabs>
          <w:tab w:val="left" w:pos="840"/>
        </w:tabs>
        <w:rPr>
          <w:color w:val="auto"/>
          <w:sz w:val="24"/>
          <w:szCs w:val="24"/>
        </w:rPr>
      </w:pPr>
      <w:bookmarkStart w:id="14" w:name="_Toc99788670"/>
      <w:bookmarkStart w:id="15" w:name="_Toc99791412"/>
      <w:bookmarkStart w:id="16" w:name="_Toc114494266"/>
      <w:r>
        <w:rPr>
          <w:color w:val="auto"/>
          <w:sz w:val="24"/>
          <w:szCs w:val="24"/>
        </w:rPr>
        <w:t>配置要求</w:t>
      </w:r>
      <w:bookmarkEnd w:id="14"/>
      <w:bookmarkEnd w:id="15"/>
      <w:bookmarkEnd w:id="16"/>
    </w:p>
    <w:p w14:paraId="327CD064">
      <w:pPr>
        <w:spacing w:line="360" w:lineRule="auto"/>
        <w:ind w:firstLine="480" w:firstLineChars="200"/>
        <w:rPr>
          <w:color w:val="auto"/>
          <w:sz w:val="24"/>
        </w:rPr>
      </w:pPr>
      <w:r>
        <w:rPr>
          <w:rFonts w:hint="eastAsia"/>
          <w:color w:val="auto"/>
          <w:sz w:val="24"/>
        </w:rPr>
        <w:t>1、采用新型节能产品，配</w:t>
      </w:r>
      <w:r>
        <w:rPr>
          <w:rFonts w:hint="eastAsia"/>
          <w:color w:val="auto"/>
          <w:sz w:val="24"/>
        </w:rPr>
        <w:t>套电机能耗等级不低于IE3。</w:t>
      </w:r>
      <w:r>
        <w:rPr>
          <w:color w:val="auto"/>
          <w:sz w:val="24"/>
        </w:rPr>
        <w:t xml:space="preserve"> </w:t>
      </w:r>
    </w:p>
    <w:p w14:paraId="7953656A">
      <w:pPr>
        <w:spacing w:line="360" w:lineRule="auto"/>
        <w:ind w:firstLine="480" w:firstLineChars="200"/>
        <w:rPr>
          <w:b/>
          <w:bCs/>
          <w:color w:val="auto"/>
          <w:sz w:val="24"/>
        </w:rPr>
      </w:pPr>
      <w:r>
        <w:rPr>
          <w:rFonts w:hint="eastAsia"/>
          <w:color w:val="auto"/>
          <w:sz w:val="24"/>
        </w:rPr>
        <w:t>2、泵型式：</w:t>
      </w:r>
      <w:r>
        <w:rPr>
          <w:rFonts w:hint="eastAsia"/>
          <w:b/>
          <w:bCs/>
          <w:color w:val="auto"/>
          <w:sz w:val="24"/>
        </w:rPr>
        <w:t>卧式端吸泵</w:t>
      </w:r>
      <w:r>
        <w:rPr>
          <w:rFonts w:hint="eastAsia"/>
          <w:color w:val="auto"/>
          <w:sz w:val="24"/>
        </w:rPr>
        <w:t>顶部中心出水，必须带注销联轴器</w:t>
      </w:r>
      <w:r>
        <w:rPr>
          <w:rFonts w:hint="eastAsia"/>
          <w:color w:val="auto"/>
          <w:sz w:val="24"/>
        </w:rPr>
        <w:t>，</w:t>
      </w:r>
      <w:r>
        <w:rPr>
          <w:rFonts w:hint="eastAsia"/>
          <w:color w:val="auto"/>
          <w:sz w:val="24"/>
        </w:rPr>
        <w:t>不允许采用直连形式、</w:t>
      </w:r>
      <w:r>
        <w:rPr>
          <w:rFonts w:hint="eastAsia"/>
          <w:b/>
          <w:bCs/>
          <w:color w:val="auto"/>
          <w:sz w:val="24"/>
        </w:rPr>
        <w:t>立式，</w:t>
      </w:r>
      <w:r>
        <w:rPr>
          <w:rFonts w:hint="eastAsia"/>
          <w:color w:val="auto"/>
          <w:sz w:val="24"/>
        </w:rPr>
        <w:t>提供相关证明文件</w:t>
      </w:r>
      <w:r>
        <w:rPr>
          <w:rFonts w:hint="eastAsia"/>
          <w:b/>
          <w:bCs/>
          <w:color w:val="auto"/>
          <w:sz w:val="24"/>
        </w:rPr>
        <w:t>。</w:t>
      </w:r>
    </w:p>
    <w:p w14:paraId="0F669297">
      <w:pPr>
        <w:spacing w:line="360" w:lineRule="auto"/>
        <w:ind w:firstLine="480" w:firstLineChars="200"/>
        <w:rPr>
          <w:color w:val="auto"/>
          <w:sz w:val="24"/>
        </w:rPr>
      </w:pPr>
      <w:r>
        <w:rPr>
          <w:rFonts w:hint="eastAsia"/>
          <w:color w:val="auto"/>
          <w:sz w:val="24"/>
        </w:rPr>
        <w:t>3、卧式端吸泵壳：：壳体材质铸铁，泵壳承压要求1.6MPa。必须对每台水泵的泵壳和泵体按1.5倍的工作压力进行水压实验。泵壳不得出现渗水和漏水，不得出现任何损坏。</w:t>
      </w:r>
    </w:p>
    <w:p w14:paraId="1863B8C3">
      <w:pPr>
        <w:spacing w:line="360" w:lineRule="auto"/>
        <w:ind w:firstLine="480" w:firstLineChars="200"/>
        <w:rPr>
          <w:color w:val="auto"/>
          <w:sz w:val="24"/>
        </w:rPr>
      </w:pPr>
      <w:r>
        <w:rPr>
          <w:rFonts w:hint="eastAsia"/>
          <w:color w:val="auto"/>
          <w:sz w:val="24"/>
        </w:rPr>
        <w:t>立式泵壳：壳体材质铸铁，底部带一体铸造的安装底座。工作压力1.6MPa。必须对每台水泵的泵壳和泵体按1.5倍的工作压力进行水压实验。泵壳不得出现渗水和漏水，不得出现任何损坏。</w:t>
      </w:r>
    </w:p>
    <w:p w14:paraId="6D1260BA">
      <w:pPr>
        <w:spacing w:line="360" w:lineRule="auto"/>
        <w:ind w:firstLine="480" w:firstLineChars="200"/>
        <w:rPr>
          <w:color w:val="auto"/>
          <w:sz w:val="24"/>
        </w:rPr>
      </w:pPr>
      <w:r>
        <w:rPr>
          <w:rFonts w:hint="eastAsia"/>
          <w:color w:val="auto"/>
          <w:sz w:val="24"/>
        </w:rPr>
        <w:t>4、叶轮：卧式端吸泵叶轮材质304、立式泵叶轮材质青铜。。叶轮应在制造厂内进行动态、静态平衡实验，其平衡精度应符合有关标准规定。具备专利的结构设计。</w:t>
      </w:r>
    </w:p>
    <w:p w14:paraId="7515B069">
      <w:pPr>
        <w:spacing w:line="360" w:lineRule="auto"/>
        <w:ind w:firstLine="480" w:firstLineChars="200"/>
        <w:rPr>
          <w:b/>
          <w:bCs/>
          <w:color w:val="auto"/>
          <w:sz w:val="24"/>
        </w:rPr>
      </w:pPr>
      <w:r>
        <w:rPr>
          <w:rFonts w:hint="eastAsia"/>
          <w:color w:val="auto"/>
          <w:sz w:val="24"/>
        </w:rPr>
        <w:t>5、</w:t>
      </w:r>
      <w:r>
        <w:rPr>
          <w:rFonts w:hint="eastAsia"/>
          <w:b/>
          <w:bCs/>
          <w:color w:val="auto"/>
          <w:sz w:val="24"/>
        </w:rPr>
        <w:t>水泵轴承：卧式端吸泵</w:t>
      </w:r>
      <w:r>
        <w:rPr>
          <w:rFonts w:hint="eastAsia"/>
          <w:b/>
          <w:bCs/>
          <w:color w:val="auto"/>
          <w:sz w:val="24"/>
        </w:rPr>
        <w:t>采用免维护球轴承，采用原装进口N</w:t>
      </w:r>
      <w:r>
        <w:rPr>
          <w:b/>
          <w:bCs/>
          <w:color w:val="auto"/>
          <w:sz w:val="24"/>
        </w:rPr>
        <w:t>SK</w:t>
      </w:r>
      <w:r>
        <w:rPr>
          <w:rFonts w:hint="eastAsia"/>
          <w:b/>
          <w:bCs/>
          <w:color w:val="auto"/>
          <w:sz w:val="24"/>
        </w:rPr>
        <w:t>/</w:t>
      </w:r>
      <w:r>
        <w:rPr>
          <w:b/>
          <w:bCs/>
          <w:color w:val="auto"/>
          <w:sz w:val="24"/>
        </w:rPr>
        <w:t>SKF</w:t>
      </w:r>
      <w:r>
        <w:rPr>
          <w:rFonts w:hint="eastAsia"/>
          <w:b/>
          <w:bCs/>
          <w:color w:val="auto"/>
          <w:sz w:val="24"/>
        </w:rPr>
        <w:t>，立式泵泵体采用无轴承的结构型式，降低维护难度。投标时提相关证明文件</w:t>
      </w:r>
      <w:r>
        <w:rPr>
          <w:rFonts w:hint="eastAsia"/>
          <w:b/>
          <w:bCs/>
          <w:color w:val="auto"/>
          <w:sz w:val="24"/>
        </w:rPr>
        <w:t>。</w:t>
      </w:r>
    </w:p>
    <w:p w14:paraId="5C1D9B43">
      <w:pPr>
        <w:spacing w:line="360" w:lineRule="auto"/>
        <w:ind w:firstLine="480" w:firstLineChars="200"/>
        <w:rPr>
          <w:color w:val="auto"/>
          <w:sz w:val="24"/>
        </w:rPr>
      </w:pPr>
      <w:r>
        <w:rPr>
          <w:rFonts w:hint="eastAsia"/>
          <w:color w:val="auto"/>
          <w:sz w:val="24"/>
        </w:rPr>
        <w:t>6、主轴：主轴材质20Cr13不锈钢，不接受直联型，立式泵采用刚性联轴器或延长轴的形式与电机相联。。</w:t>
      </w:r>
      <w:r>
        <w:rPr>
          <w:color w:val="auto"/>
          <w:sz w:val="24"/>
        </w:rPr>
        <w:t xml:space="preserve"> </w:t>
      </w:r>
    </w:p>
    <w:p w14:paraId="76DA4190">
      <w:pPr>
        <w:spacing w:line="360" w:lineRule="auto"/>
        <w:ind w:firstLine="480" w:firstLineChars="200"/>
        <w:rPr>
          <w:color w:val="auto"/>
          <w:sz w:val="24"/>
        </w:rPr>
      </w:pPr>
      <w:r>
        <w:rPr>
          <w:rFonts w:hint="eastAsia"/>
          <w:color w:val="auto"/>
          <w:sz w:val="24"/>
        </w:rPr>
        <w:t>7、主轴密封：主轴应采用机械密封，机械密封的寿命要大于5年。机械密封要互换性强，替换方便。机械密封品牌要求：Burgmann（德国）, Eagle（日本）, John Crane（英国）。。机械密封要求摩擦副为软硬结合的配置方式。</w:t>
      </w:r>
    </w:p>
    <w:p w14:paraId="02C42175">
      <w:pPr>
        <w:spacing w:line="360" w:lineRule="auto"/>
        <w:ind w:firstLine="480" w:firstLineChars="200"/>
        <w:rPr>
          <w:color w:val="auto"/>
          <w:sz w:val="24"/>
        </w:rPr>
      </w:pPr>
      <w:r>
        <w:rPr>
          <w:rFonts w:hint="eastAsia"/>
          <w:color w:val="auto"/>
          <w:sz w:val="24"/>
        </w:rPr>
        <w:t>8、立式泵座：与泵壳一体铁造。</w:t>
      </w:r>
    </w:p>
    <w:p w14:paraId="2E12248E">
      <w:pPr>
        <w:spacing w:line="360" w:lineRule="auto"/>
        <w:ind w:firstLine="480" w:firstLineChars="200"/>
        <w:rPr>
          <w:color w:val="auto"/>
          <w:sz w:val="24"/>
        </w:rPr>
      </w:pPr>
      <w:r>
        <w:rPr>
          <w:rFonts w:hint="eastAsia"/>
          <w:color w:val="auto"/>
          <w:sz w:val="24"/>
        </w:rPr>
        <w:t>联轴器：必须配带配弹性注销轴器，投标时提供相关证明文件。</w:t>
      </w:r>
    </w:p>
    <w:p w14:paraId="0C1B2657">
      <w:pPr>
        <w:spacing w:line="360" w:lineRule="auto"/>
        <w:ind w:firstLine="480" w:firstLineChars="200"/>
        <w:rPr>
          <w:color w:val="auto"/>
          <w:sz w:val="24"/>
        </w:rPr>
      </w:pPr>
      <w:r>
        <w:rPr>
          <w:rFonts w:hint="eastAsia"/>
          <w:color w:val="auto"/>
          <w:sz w:val="24"/>
        </w:rPr>
        <w:t>9、密封环：密封环采用青铜材质。</w:t>
      </w:r>
    </w:p>
    <w:p w14:paraId="09111D27">
      <w:pPr>
        <w:spacing w:line="360" w:lineRule="auto"/>
        <w:ind w:firstLine="480" w:firstLineChars="200"/>
        <w:rPr>
          <w:color w:val="auto"/>
          <w:sz w:val="24"/>
        </w:rPr>
      </w:pPr>
      <w:r>
        <w:rPr>
          <w:color w:val="auto"/>
          <w:sz w:val="24"/>
        </w:rPr>
        <w:t>10</w:t>
      </w:r>
      <w:r>
        <w:rPr>
          <w:rFonts w:hint="eastAsia"/>
          <w:color w:val="auto"/>
          <w:sz w:val="24"/>
        </w:rPr>
        <w:t>、电机：电机能效I</w:t>
      </w:r>
      <w:r>
        <w:rPr>
          <w:color w:val="auto"/>
          <w:sz w:val="24"/>
        </w:rPr>
        <w:t>E3</w:t>
      </w:r>
      <w:r>
        <w:rPr>
          <w:rFonts w:hint="eastAsia"/>
          <w:color w:val="auto"/>
          <w:sz w:val="24"/>
        </w:rPr>
        <w:t>，电机品牌：西门子/</w:t>
      </w:r>
      <w:r>
        <w:rPr>
          <w:color w:val="auto"/>
          <w:sz w:val="24"/>
        </w:rPr>
        <w:t>ABB</w:t>
      </w:r>
      <w:r>
        <w:rPr>
          <w:rFonts w:hint="eastAsia"/>
          <w:color w:val="auto"/>
          <w:sz w:val="24"/>
        </w:rPr>
        <w:t>,要求变频的电机必须配独立风扇。</w:t>
      </w:r>
    </w:p>
    <w:p w14:paraId="77D8F565">
      <w:pPr>
        <w:spacing w:line="360" w:lineRule="auto"/>
        <w:ind w:firstLine="480" w:firstLineChars="200"/>
        <w:rPr>
          <w:color w:val="auto"/>
          <w:sz w:val="24"/>
        </w:rPr>
      </w:pPr>
      <w:r>
        <w:rPr>
          <w:rFonts w:hint="eastAsia"/>
          <w:color w:val="auto"/>
          <w:sz w:val="24"/>
        </w:rPr>
        <w:t>11、立式泵在当地环境温度及现场条件下每台水泵的配置的电动机必须保证水泵的额定流量、扬程下正常运转。同时能满足水泵在超额定电流量25%的工况下，电动功率仍可以覆盖耗电功率。</w:t>
      </w:r>
    </w:p>
    <w:p w14:paraId="14FDF3E2">
      <w:pPr>
        <w:pStyle w:val="24"/>
        <w:tabs>
          <w:tab w:val="left" w:pos="840"/>
        </w:tabs>
        <w:rPr>
          <w:color w:val="auto"/>
        </w:rPr>
      </w:pPr>
      <w:bookmarkStart w:id="17" w:name="_Toc114494267"/>
      <w:bookmarkStart w:id="18" w:name="_Toc99788671"/>
      <w:bookmarkStart w:id="19" w:name="_Toc99791413"/>
      <w:r>
        <w:rPr>
          <w:rFonts w:hint="eastAsia"/>
          <w:color w:val="auto"/>
        </w:rPr>
        <w:t>主要零部件材质要求表</w:t>
      </w:r>
      <w:bookmarkEnd w:id="17"/>
      <w:bookmarkEnd w:id="18"/>
      <w:bookmarkEnd w:id="19"/>
    </w:p>
    <w:p w14:paraId="21D15AEE">
      <w:pPr>
        <w:rPr>
          <w:b/>
          <w:bCs/>
          <w:color w:val="auto"/>
          <w:sz w:val="28"/>
          <w:szCs w:val="28"/>
        </w:rPr>
      </w:pPr>
      <w:r>
        <w:rPr>
          <w:rFonts w:hint="eastAsia"/>
          <w:b/>
          <w:bCs/>
          <w:color w:val="auto"/>
          <w:sz w:val="28"/>
          <w:szCs w:val="28"/>
        </w:rPr>
        <w:t>卧式端吸泵部件材料</w:t>
      </w:r>
    </w:p>
    <w:tbl>
      <w:tblPr>
        <w:tblStyle w:val="17"/>
        <w:tblW w:w="9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1985"/>
        <w:gridCol w:w="2266"/>
        <w:gridCol w:w="2597"/>
        <w:gridCol w:w="542"/>
        <w:gridCol w:w="780"/>
        <w:gridCol w:w="780"/>
      </w:tblGrid>
      <w:tr w14:paraId="3C33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6D81ED1B">
            <w:pPr>
              <w:jc w:val="center"/>
              <w:rPr>
                <w:color w:val="auto"/>
                <w:szCs w:val="21"/>
              </w:rPr>
            </w:pPr>
            <w:r>
              <w:rPr>
                <w:rFonts w:hint="eastAsia"/>
                <w:color w:val="auto"/>
                <w:szCs w:val="21"/>
              </w:rPr>
              <w:t>序号</w:t>
            </w:r>
          </w:p>
        </w:tc>
        <w:tc>
          <w:tcPr>
            <w:tcW w:w="1985" w:type="dxa"/>
            <w:vAlign w:val="center"/>
          </w:tcPr>
          <w:p w14:paraId="2C721401">
            <w:pPr>
              <w:jc w:val="center"/>
              <w:rPr>
                <w:color w:val="auto"/>
                <w:szCs w:val="21"/>
              </w:rPr>
            </w:pPr>
            <w:r>
              <w:rPr>
                <w:rFonts w:hint="eastAsia"/>
                <w:color w:val="auto"/>
                <w:szCs w:val="21"/>
              </w:rPr>
              <w:t>部件名称</w:t>
            </w:r>
          </w:p>
        </w:tc>
        <w:tc>
          <w:tcPr>
            <w:tcW w:w="2266" w:type="dxa"/>
            <w:vAlign w:val="center"/>
          </w:tcPr>
          <w:p w14:paraId="2F76331F">
            <w:pPr>
              <w:jc w:val="center"/>
              <w:rPr>
                <w:color w:val="auto"/>
                <w:szCs w:val="21"/>
              </w:rPr>
            </w:pPr>
            <w:r>
              <w:rPr>
                <w:rFonts w:hint="eastAsia"/>
                <w:color w:val="auto"/>
                <w:szCs w:val="21"/>
              </w:rPr>
              <w:t>材质</w:t>
            </w:r>
          </w:p>
        </w:tc>
        <w:tc>
          <w:tcPr>
            <w:tcW w:w="2597" w:type="dxa"/>
            <w:vAlign w:val="center"/>
          </w:tcPr>
          <w:p w14:paraId="6493EE0C">
            <w:pPr>
              <w:jc w:val="center"/>
              <w:rPr>
                <w:color w:val="auto"/>
                <w:szCs w:val="21"/>
              </w:rPr>
            </w:pPr>
            <w:r>
              <w:rPr>
                <w:rFonts w:hint="eastAsia"/>
                <w:color w:val="auto"/>
                <w:szCs w:val="21"/>
              </w:rPr>
              <w:t>品牌</w:t>
            </w:r>
          </w:p>
        </w:tc>
        <w:tc>
          <w:tcPr>
            <w:tcW w:w="542" w:type="dxa"/>
            <w:vAlign w:val="center"/>
          </w:tcPr>
          <w:p w14:paraId="1A202EA2">
            <w:pPr>
              <w:jc w:val="center"/>
              <w:rPr>
                <w:color w:val="auto"/>
                <w:szCs w:val="21"/>
              </w:rPr>
            </w:pPr>
            <w:r>
              <w:rPr>
                <w:rFonts w:hint="eastAsia"/>
                <w:color w:val="auto"/>
                <w:szCs w:val="21"/>
              </w:rPr>
              <w:t>供应商</w:t>
            </w:r>
          </w:p>
        </w:tc>
        <w:tc>
          <w:tcPr>
            <w:tcW w:w="0" w:type="auto"/>
            <w:vAlign w:val="center"/>
          </w:tcPr>
          <w:p w14:paraId="5FA9C262">
            <w:pPr>
              <w:jc w:val="center"/>
              <w:rPr>
                <w:color w:val="auto"/>
                <w:szCs w:val="21"/>
              </w:rPr>
            </w:pPr>
            <w:r>
              <w:rPr>
                <w:rFonts w:hint="eastAsia"/>
                <w:color w:val="auto"/>
                <w:szCs w:val="21"/>
              </w:rPr>
              <w:t>产地</w:t>
            </w:r>
          </w:p>
        </w:tc>
        <w:tc>
          <w:tcPr>
            <w:tcW w:w="0" w:type="auto"/>
            <w:vAlign w:val="center"/>
          </w:tcPr>
          <w:p w14:paraId="0E931906">
            <w:pPr>
              <w:jc w:val="center"/>
              <w:rPr>
                <w:color w:val="auto"/>
                <w:szCs w:val="21"/>
              </w:rPr>
            </w:pPr>
            <w:r>
              <w:rPr>
                <w:rFonts w:hint="eastAsia"/>
                <w:color w:val="auto"/>
                <w:szCs w:val="21"/>
              </w:rPr>
              <w:t>备注</w:t>
            </w:r>
          </w:p>
        </w:tc>
      </w:tr>
      <w:tr w14:paraId="4F10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2652CE1C">
            <w:pPr>
              <w:jc w:val="center"/>
              <w:rPr>
                <w:color w:val="auto"/>
                <w:szCs w:val="21"/>
              </w:rPr>
            </w:pPr>
            <w:r>
              <w:rPr>
                <w:rFonts w:hint="eastAsia"/>
                <w:color w:val="auto"/>
                <w:szCs w:val="21"/>
              </w:rPr>
              <w:t>1</w:t>
            </w:r>
          </w:p>
        </w:tc>
        <w:tc>
          <w:tcPr>
            <w:tcW w:w="1985" w:type="dxa"/>
            <w:vAlign w:val="center"/>
          </w:tcPr>
          <w:p w14:paraId="51B9CF34">
            <w:pPr>
              <w:jc w:val="center"/>
              <w:rPr>
                <w:color w:val="auto"/>
                <w:szCs w:val="21"/>
              </w:rPr>
            </w:pPr>
            <w:r>
              <w:rPr>
                <w:rFonts w:hint="eastAsia"/>
                <w:color w:val="auto"/>
                <w:szCs w:val="21"/>
              </w:rPr>
              <w:t>泵壳</w:t>
            </w:r>
          </w:p>
        </w:tc>
        <w:tc>
          <w:tcPr>
            <w:tcW w:w="2266" w:type="dxa"/>
            <w:vAlign w:val="center"/>
          </w:tcPr>
          <w:p w14:paraId="604EDF39">
            <w:pPr>
              <w:jc w:val="center"/>
              <w:rPr>
                <w:color w:val="auto"/>
                <w:szCs w:val="21"/>
              </w:rPr>
            </w:pPr>
            <w:r>
              <w:rPr>
                <w:rFonts w:hint="eastAsia"/>
                <w:color w:val="auto"/>
                <w:szCs w:val="21"/>
              </w:rPr>
              <w:t>铸铁</w:t>
            </w:r>
          </w:p>
          <w:p w14:paraId="4CD665AC">
            <w:pPr>
              <w:jc w:val="center"/>
              <w:rPr>
                <w:color w:val="auto"/>
                <w:szCs w:val="21"/>
              </w:rPr>
            </w:pPr>
            <w:r>
              <w:rPr>
                <w:rFonts w:hint="eastAsia"/>
                <w:color w:val="auto"/>
                <w:szCs w:val="21"/>
              </w:rPr>
              <w:t>（HT250/QT450）</w:t>
            </w:r>
          </w:p>
        </w:tc>
        <w:tc>
          <w:tcPr>
            <w:tcW w:w="2597" w:type="dxa"/>
            <w:vAlign w:val="center"/>
          </w:tcPr>
          <w:p w14:paraId="58075AC3">
            <w:pPr>
              <w:jc w:val="center"/>
              <w:rPr>
                <w:color w:val="auto"/>
                <w:szCs w:val="21"/>
              </w:rPr>
            </w:pPr>
          </w:p>
        </w:tc>
        <w:tc>
          <w:tcPr>
            <w:tcW w:w="542" w:type="dxa"/>
            <w:vAlign w:val="center"/>
          </w:tcPr>
          <w:p w14:paraId="2D31DE88">
            <w:pPr>
              <w:jc w:val="center"/>
              <w:rPr>
                <w:color w:val="auto"/>
                <w:szCs w:val="21"/>
              </w:rPr>
            </w:pPr>
          </w:p>
        </w:tc>
        <w:tc>
          <w:tcPr>
            <w:tcW w:w="0" w:type="auto"/>
            <w:vAlign w:val="center"/>
          </w:tcPr>
          <w:p w14:paraId="6D32CC43">
            <w:pPr>
              <w:jc w:val="center"/>
              <w:rPr>
                <w:color w:val="auto"/>
                <w:szCs w:val="21"/>
              </w:rPr>
            </w:pPr>
          </w:p>
        </w:tc>
        <w:tc>
          <w:tcPr>
            <w:tcW w:w="0" w:type="auto"/>
            <w:vAlign w:val="center"/>
          </w:tcPr>
          <w:p w14:paraId="50D323C5">
            <w:pPr>
              <w:jc w:val="center"/>
              <w:rPr>
                <w:color w:val="auto"/>
                <w:szCs w:val="21"/>
              </w:rPr>
            </w:pPr>
          </w:p>
        </w:tc>
      </w:tr>
      <w:tr w14:paraId="4DA7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379FE0CC">
            <w:pPr>
              <w:jc w:val="center"/>
              <w:rPr>
                <w:color w:val="auto"/>
                <w:szCs w:val="21"/>
              </w:rPr>
            </w:pPr>
            <w:r>
              <w:rPr>
                <w:rFonts w:hint="eastAsia"/>
                <w:color w:val="auto"/>
                <w:szCs w:val="21"/>
              </w:rPr>
              <w:t>2</w:t>
            </w:r>
          </w:p>
        </w:tc>
        <w:tc>
          <w:tcPr>
            <w:tcW w:w="1985" w:type="dxa"/>
            <w:vAlign w:val="center"/>
          </w:tcPr>
          <w:p w14:paraId="0B7FD099">
            <w:pPr>
              <w:jc w:val="center"/>
              <w:rPr>
                <w:color w:val="auto"/>
                <w:szCs w:val="21"/>
              </w:rPr>
            </w:pPr>
            <w:r>
              <w:rPr>
                <w:rFonts w:hint="eastAsia"/>
                <w:color w:val="auto"/>
                <w:szCs w:val="21"/>
              </w:rPr>
              <w:t>密封环</w:t>
            </w:r>
          </w:p>
        </w:tc>
        <w:tc>
          <w:tcPr>
            <w:tcW w:w="2266" w:type="dxa"/>
            <w:vAlign w:val="center"/>
          </w:tcPr>
          <w:p w14:paraId="417232EE">
            <w:pPr>
              <w:jc w:val="center"/>
              <w:rPr>
                <w:color w:val="auto"/>
                <w:szCs w:val="21"/>
              </w:rPr>
            </w:pPr>
            <w:r>
              <w:rPr>
                <w:rFonts w:hint="eastAsia"/>
                <w:color w:val="auto"/>
                <w:szCs w:val="21"/>
              </w:rPr>
              <w:t>青铜</w:t>
            </w:r>
          </w:p>
          <w:p w14:paraId="5518BAE3">
            <w:pPr>
              <w:jc w:val="center"/>
              <w:rPr>
                <w:color w:val="auto"/>
                <w:szCs w:val="21"/>
              </w:rPr>
            </w:pPr>
            <w:r>
              <w:rPr>
                <w:rFonts w:hint="eastAsia"/>
                <w:color w:val="auto"/>
                <w:szCs w:val="21"/>
              </w:rPr>
              <w:t>（ZCuSn5Pb5Zn5）</w:t>
            </w:r>
          </w:p>
        </w:tc>
        <w:tc>
          <w:tcPr>
            <w:tcW w:w="2597" w:type="dxa"/>
            <w:vAlign w:val="center"/>
          </w:tcPr>
          <w:p w14:paraId="30C67BEB">
            <w:pPr>
              <w:jc w:val="center"/>
              <w:rPr>
                <w:color w:val="auto"/>
                <w:szCs w:val="21"/>
              </w:rPr>
            </w:pPr>
          </w:p>
        </w:tc>
        <w:tc>
          <w:tcPr>
            <w:tcW w:w="542" w:type="dxa"/>
            <w:vAlign w:val="center"/>
          </w:tcPr>
          <w:p w14:paraId="498CBDF6">
            <w:pPr>
              <w:jc w:val="center"/>
              <w:rPr>
                <w:color w:val="auto"/>
                <w:szCs w:val="21"/>
              </w:rPr>
            </w:pPr>
          </w:p>
        </w:tc>
        <w:tc>
          <w:tcPr>
            <w:tcW w:w="0" w:type="auto"/>
            <w:vAlign w:val="center"/>
          </w:tcPr>
          <w:p w14:paraId="37606D2B">
            <w:pPr>
              <w:jc w:val="center"/>
              <w:rPr>
                <w:color w:val="auto"/>
                <w:szCs w:val="21"/>
              </w:rPr>
            </w:pPr>
          </w:p>
        </w:tc>
        <w:tc>
          <w:tcPr>
            <w:tcW w:w="0" w:type="auto"/>
            <w:vAlign w:val="center"/>
          </w:tcPr>
          <w:p w14:paraId="0948EC8E">
            <w:pPr>
              <w:jc w:val="center"/>
              <w:rPr>
                <w:color w:val="auto"/>
                <w:szCs w:val="21"/>
              </w:rPr>
            </w:pPr>
          </w:p>
        </w:tc>
      </w:tr>
      <w:tr w14:paraId="661E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3879B7B7">
            <w:pPr>
              <w:jc w:val="center"/>
              <w:rPr>
                <w:color w:val="auto"/>
                <w:szCs w:val="21"/>
              </w:rPr>
            </w:pPr>
            <w:r>
              <w:rPr>
                <w:rFonts w:hint="eastAsia"/>
                <w:color w:val="auto"/>
                <w:szCs w:val="21"/>
              </w:rPr>
              <w:t>3</w:t>
            </w:r>
          </w:p>
        </w:tc>
        <w:tc>
          <w:tcPr>
            <w:tcW w:w="1985" w:type="dxa"/>
            <w:vAlign w:val="center"/>
          </w:tcPr>
          <w:p w14:paraId="3089B7CE">
            <w:pPr>
              <w:jc w:val="center"/>
              <w:rPr>
                <w:color w:val="auto"/>
                <w:szCs w:val="21"/>
              </w:rPr>
            </w:pPr>
            <w:r>
              <w:rPr>
                <w:rFonts w:hint="eastAsia"/>
                <w:color w:val="auto"/>
                <w:szCs w:val="21"/>
              </w:rPr>
              <w:t>叶轮</w:t>
            </w:r>
          </w:p>
        </w:tc>
        <w:tc>
          <w:tcPr>
            <w:tcW w:w="2266" w:type="dxa"/>
            <w:vAlign w:val="center"/>
          </w:tcPr>
          <w:p w14:paraId="2E5D28E3">
            <w:pPr>
              <w:jc w:val="center"/>
              <w:rPr>
                <w:color w:val="auto"/>
                <w:szCs w:val="21"/>
              </w:rPr>
            </w:pPr>
            <w:r>
              <w:rPr>
                <w:rFonts w:hint="eastAsia"/>
                <w:color w:val="auto"/>
                <w:szCs w:val="21"/>
              </w:rPr>
              <w:t>不锈钢</w:t>
            </w:r>
          </w:p>
          <w:p w14:paraId="46F65824">
            <w:pPr>
              <w:jc w:val="center"/>
              <w:rPr>
                <w:color w:val="auto"/>
                <w:szCs w:val="21"/>
              </w:rPr>
            </w:pPr>
            <w:r>
              <w:rPr>
                <w:rFonts w:hint="eastAsia"/>
                <w:color w:val="auto"/>
                <w:szCs w:val="21"/>
              </w:rPr>
              <w:t>（304）</w:t>
            </w:r>
          </w:p>
        </w:tc>
        <w:tc>
          <w:tcPr>
            <w:tcW w:w="2597" w:type="dxa"/>
            <w:vAlign w:val="center"/>
          </w:tcPr>
          <w:p w14:paraId="73A04873">
            <w:pPr>
              <w:jc w:val="center"/>
              <w:rPr>
                <w:color w:val="auto"/>
                <w:szCs w:val="21"/>
              </w:rPr>
            </w:pPr>
          </w:p>
        </w:tc>
        <w:tc>
          <w:tcPr>
            <w:tcW w:w="542" w:type="dxa"/>
            <w:vAlign w:val="center"/>
          </w:tcPr>
          <w:p w14:paraId="670848C7">
            <w:pPr>
              <w:jc w:val="center"/>
              <w:rPr>
                <w:color w:val="auto"/>
                <w:szCs w:val="21"/>
              </w:rPr>
            </w:pPr>
          </w:p>
        </w:tc>
        <w:tc>
          <w:tcPr>
            <w:tcW w:w="0" w:type="auto"/>
            <w:vAlign w:val="center"/>
          </w:tcPr>
          <w:p w14:paraId="43DCF4CD">
            <w:pPr>
              <w:jc w:val="center"/>
              <w:rPr>
                <w:color w:val="auto"/>
                <w:szCs w:val="21"/>
              </w:rPr>
            </w:pPr>
          </w:p>
        </w:tc>
        <w:tc>
          <w:tcPr>
            <w:tcW w:w="0" w:type="auto"/>
            <w:vAlign w:val="center"/>
          </w:tcPr>
          <w:p w14:paraId="0EA835A4">
            <w:pPr>
              <w:jc w:val="center"/>
              <w:rPr>
                <w:color w:val="auto"/>
                <w:szCs w:val="21"/>
              </w:rPr>
            </w:pPr>
          </w:p>
        </w:tc>
      </w:tr>
      <w:tr w14:paraId="650D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301CDADF">
            <w:pPr>
              <w:jc w:val="center"/>
              <w:rPr>
                <w:color w:val="auto"/>
                <w:szCs w:val="21"/>
              </w:rPr>
            </w:pPr>
            <w:r>
              <w:rPr>
                <w:color w:val="auto"/>
                <w:szCs w:val="21"/>
              </w:rPr>
              <w:t>4</w:t>
            </w:r>
          </w:p>
        </w:tc>
        <w:tc>
          <w:tcPr>
            <w:tcW w:w="1985" w:type="dxa"/>
            <w:vAlign w:val="center"/>
          </w:tcPr>
          <w:p w14:paraId="5E0577F9">
            <w:pPr>
              <w:jc w:val="center"/>
              <w:rPr>
                <w:color w:val="auto"/>
                <w:szCs w:val="21"/>
              </w:rPr>
            </w:pPr>
            <w:r>
              <w:rPr>
                <w:rFonts w:hint="eastAsia"/>
                <w:color w:val="auto"/>
                <w:szCs w:val="21"/>
              </w:rPr>
              <w:t>主轴</w:t>
            </w:r>
          </w:p>
        </w:tc>
        <w:tc>
          <w:tcPr>
            <w:tcW w:w="2266" w:type="dxa"/>
            <w:vAlign w:val="center"/>
          </w:tcPr>
          <w:p w14:paraId="12D8846F">
            <w:pPr>
              <w:jc w:val="center"/>
              <w:rPr>
                <w:color w:val="auto"/>
                <w:szCs w:val="21"/>
              </w:rPr>
            </w:pPr>
            <w:r>
              <w:rPr>
                <w:rFonts w:hint="eastAsia"/>
                <w:color w:val="auto"/>
                <w:szCs w:val="21"/>
              </w:rPr>
              <w:t>20Cr13</w:t>
            </w:r>
          </w:p>
        </w:tc>
        <w:tc>
          <w:tcPr>
            <w:tcW w:w="2597" w:type="dxa"/>
            <w:vAlign w:val="center"/>
          </w:tcPr>
          <w:p w14:paraId="175D4096">
            <w:pPr>
              <w:jc w:val="center"/>
              <w:rPr>
                <w:color w:val="auto"/>
                <w:szCs w:val="21"/>
              </w:rPr>
            </w:pPr>
          </w:p>
        </w:tc>
        <w:tc>
          <w:tcPr>
            <w:tcW w:w="542" w:type="dxa"/>
            <w:vAlign w:val="center"/>
          </w:tcPr>
          <w:p w14:paraId="6F837F0D">
            <w:pPr>
              <w:jc w:val="center"/>
              <w:rPr>
                <w:color w:val="auto"/>
                <w:szCs w:val="21"/>
              </w:rPr>
            </w:pPr>
          </w:p>
        </w:tc>
        <w:tc>
          <w:tcPr>
            <w:tcW w:w="0" w:type="auto"/>
            <w:vAlign w:val="center"/>
          </w:tcPr>
          <w:p w14:paraId="22ADF748">
            <w:pPr>
              <w:jc w:val="center"/>
              <w:rPr>
                <w:color w:val="auto"/>
                <w:szCs w:val="21"/>
              </w:rPr>
            </w:pPr>
          </w:p>
        </w:tc>
        <w:tc>
          <w:tcPr>
            <w:tcW w:w="0" w:type="auto"/>
            <w:vAlign w:val="center"/>
          </w:tcPr>
          <w:p w14:paraId="06F44BD1">
            <w:pPr>
              <w:jc w:val="center"/>
              <w:rPr>
                <w:color w:val="auto"/>
                <w:szCs w:val="21"/>
              </w:rPr>
            </w:pPr>
          </w:p>
        </w:tc>
      </w:tr>
      <w:tr w14:paraId="6B40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46" w:type="dxa"/>
            <w:vAlign w:val="center"/>
          </w:tcPr>
          <w:p w14:paraId="4AAC8214">
            <w:pPr>
              <w:jc w:val="center"/>
              <w:rPr>
                <w:color w:val="auto"/>
                <w:szCs w:val="21"/>
              </w:rPr>
            </w:pPr>
            <w:r>
              <w:rPr>
                <w:color w:val="auto"/>
                <w:szCs w:val="21"/>
              </w:rPr>
              <w:t>5</w:t>
            </w:r>
          </w:p>
        </w:tc>
        <w:tc>
          <w:tcPr>
            <w:tcW w:w="1985" w:type="dxa"/>
            <w:vAlign w:val="center"/>
          </w:tcPr>
          <w:p w14:paraId="57071AAC">
            <w:pPr>
              <w:jc w:val="center"/>
              <w:rPr>
                <w:color w:val="auto"/>
                <w:szCs w:val="21"/>
              </w:rPr>
            </w:pPr>
            <w:r>
              <w:rPr>
                <w:rFonts w:hint="eastAsia"/>
                <w:color w:val="auto"/>
                <w:szCs w:val="21"/>
              </w:rPr>
              <w:t>联轴器</w:t>
            </w:r>
          </w:p>
        </w:tc>
        <w:tc>
          <w:tcPr>
            <w:tcW w:w="2266" w:type="dxa"/>
            <w:vAlign w:val="center"/>
          </w:tcPr>
          <w:p w14:paraId="4697176B">
            <w:pPr>
              <w:jc w:val="center"/>
              <w:rPr>
                <w:color w:val="auto"/>
                <w:szCs w:val="21"/>
              </w:rPr>
            </w:pPr>
            <w:r>
              <w:rPr>
                <w:rFonts w:hint="eastAsia"/>
                <w:color w:val="auto"/>
                <w:szCs w:val="21"/>
              </w:rPr>
              <w:t>弹性注销联轴器</w:t>
            </w:r>
          </w:p>
        </w:tc>
        <w:tc>
          <w:tcPr>
            <w:tcW w:w="2597" w:type="dxa"/>
            <w:vAlign w:val="center"/>
          </w:tcPr>
          <w:p w14:paraId="2D6A4308">
            <w:pPr>
              <w:jc w:val="center"/>
              <w:rPr>
                <w:color w:val="auto"/>
                <w:szCs w:val="21"/>
              </w:rPr>
            </w:pPr>
          </w:p>
        </w:tc>
        <w:tc>
          <w:tcPr>
            <w:tcW w:w="542" w:type="dxa"/>
            <w:vAlign w:val="center"/>
          </w:tcPr>
          <w:p w14:paraId="609A579B">
            <w:pPr>
              <w:jc w:val="center"/>
              <w:rPr>
                <w:color w:val="auto"/>
                <w:szCs w:val="21"/>
              </w:rPr>
            </w:pPr>
          </w:p>
        </w:tc>
        <w:tc>
          <w:tcPr>
            <w:tcW w:w="0" w:type="auto"/>
            <w:vAlign w:val="center"/>
          </w:tcPr>
          <w:p w14:paraId="1C1FBD03">
            <w:pPr>
              <w:jc w:val="center"/>
              <w:rPr>
                <w:color w:val="auto"/>
                <w:szCs w:val="21"/>
              </w:rPr>
            </w:pPr>
          </w:p>
        </w:tc>
        <w:tc>
          <w:tcPr>
            <w:tcW w:w="0" w:type="auto"/>
            <w:vAlign w:val="center"/>
          </w:tcPr>
          <w:p w14:paraId="08A2DE8E">
            <w:pPr>
              <w:jc w:val="center"/>
              <w:rPr>
                <w:color w:val="auto"/>
                <w:szCs w:val="21"/>
              </w:rPr>
            </w:pPr>
          </w:p>
        </w:tc>
      </w:tr>
    </w:tbl>
    <w:p w14:paraId="20A6AA5F">
      <w:pPr>
        <w:rPr>
          <w:rFonts w:hint="eastAsia" w:ascii="宋体" w:hAnsi="宋体"/>
          <w:color w:val="auto"/>
        </w:rPr>
      </w:pPr>
    </w:p>
    <w:p w14:paraId="5457A3AD">
      <w:pPr>
        <w:numPr>
          <w:ilvl w:val="1"/>
          <w:numId w:val="0"/>
        </w:numPr>
        <w:tabs>
          <w:tab w:val="left" w:pos="840"/>
        </w:tabs>
        <w:spacing w:line="360" w:lineRule="auto"/>
        <w:jc w:val="left"/>
        <w:outlineLvl w:val="1"/>
        <w:rPr>
          <w:rFonts w:asciiTheme="minorEastAsia"/>
          <w:b/>
          <w:color w:val="auto"/>
          <w:sz w:val="28"/>
        </w:rPr>
      </w:pPr>
      <w:bookmarkStart w:id="20" w:name="_Toc99791893"/>
      <w:r>
        <w:rPr>
          <w:rFonts w:hint="eastAsia" w:asciiTheme="minorEastAsia"/>
          <w:b/>
          <w:color w:val="auto"/>
          <w:sz w:val="28"/>
        </w:rPr>
        <w:t>立式泵主要零部件材质要求表</w:t>
      </w:r>
      <w:bookmarkEnd w:id="20"/>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76"/>
        <w:gridCol w:w="3910"/>
        <w:gridCol w:w="636"/>
        <w:gridCol w:w="846"/>
        <w:gridCol w:w="636"/>
        <w:gridCol w:w="636"/>
      </w:tblGrid>
      <w:tr w14:paraId="1399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412F0B19">
            <w:pPr>
              <w:jc w:val="center"/>
              <w:rPr>
                <w:color w:val="auto"/>
                <w:szCs w:val="21"/>
              </w:rPr>
            </w:pPr>
            <w:r>
              <w:rPr>
                <w:rFonts w:hint="eastAsia"/>
                <w:color w:val="auto"/>
                <w:szCs w:val="21"/>
              </w:rPr>
              <w:t>序号</w:t>
            </w:r>
          </w:p>
        </w:tc>
        <w:tc>
          <w:tcPr>
            <w:tcW w:w="0" w:type="auto"/>
            <w:vAlign w:val="center"/>
          </w:tcPr>
          <w:p w14:paraId="44C9A376">
            <w:pPr>
              <w:jc w:val="center"/>
              <w:rPr>
                <w:color w:val="auto"/>
                <w:szCs w:val="21"/>
              </w:rPr>
            </w:pPr>
            <w:r>
              <w:rPr>
                <w:rFonts w:hint="eastAsia"/>
                <w:color w:val="auto"/>
                <w:szCs w:val="21"/>
              </w:rPr>
              <w:t>部件名    称</w:t>
            </w:r>
          </w:p>
        </w:tc>
        <w:tc>
          <w:tcPr>
            <w:tcW w:w="0" w:type="auto"/>
            <w:vAlign w:val="center"/>
          </w:tcPr>
          <w:p w14:paraId="0690B67E">
            <w:pPr>
              <w:jc w:val="center"/>
              <w:rPr>
                <w:color w:val="auto"/>
                <w:szCs w:val="21"/>
              </w:rPr>
            </w:pPr>
            <w:r>
              <w:rPr>
                <w:rFonts w:hint="eastAsia"/>
                <w:color w:val="auto"/>
                <w:szCs w:val="21"/>
              </w:rPr>
              <w:t>材质</w:t>
            </w:r>
          </w:p>
        </w:tc>
        <w:tc>
          <w:tcPr>
            <w:tcW w:w="0" w:type="auto"/>
            <w:vAlign w:val="center"/>
          </w:tcPr>
          <w:p w14:paraId="78B5C454">
            <w:pPr>
              <w:jc w:val="center"/>
              <w:rPr>
                <w:color w:val="auto"/>
                <w:szCs w:val="21"/>
              </w:rPr>
            </w:pPr>
            <w:r>
              <w:rPr>
                <w:rFonts w:hint="eastAsia"/>
                <w:color w:val="auto"/>
                <w:szCs w:val="21"/>
              </w:rPr>
              <w:t>品牌</w:t>
            </w:r>
          </w:p>
        </w:tc>
        <w:tc>
          <w:tcPr>
            <w:tcW w:w="0" w:type="auto"/>
            <w:vAlign w:val="center"/>
          </w:tcPr>
          <w:p w14:paraId="7039D26F">
            <w:pPr>
              <w:jc w:val="center"/>
              <w:rPr>
                <w:color w:val="auto"/>
                <w:szCs w:val="21"/>
              </w:rPr>
            </w:pPr>
            <w:r>
              <w:rPr>
                <w:rFonts w:hint="eastAsia"/>
                <w:color w:val="auto"/>
                <w:szCs w:val="21"/>
              </w:rPr>
              <w:t>供应商</w:t>
            </w:r>
          </w:p>
        </w:tc>
        <w:tc>
          <w:tcPr>
            <w:tcW w:w="0" w:type="auto"/>
            <w:vAlign w:val="center"/>
          </w:tcPr>
          <w:p w14:paraId="754AD958">
            <w:pPr>
              <w:jc w:val="center"/>
              <w:rPr>
                <w:color w:val="auto"/>
                <w:szCs w:val="21"/>
              </w:rPr>
            </w:pPr>
            <w:r>
              <w:rPr>
                <w:rFonts w:hint="eastAsia"/>
                <w:color w:val="auto"/>
                <w:szCs w:val="21"/>
              </w:rPr>
              <w:t>产地</w:t>
            </w:r>
          </w:p>
        </w:tc>
        <w:tc>
          <w:tcPr>
            <w:tcW w:w="0" w:type="auto"/>
            <w:vAlign w:val="center"/>
          </w:tcPr>
          <w:p w14:paraId="5380E9E5">
            <w:pPr>
              <w:jc w:val="center"/>
              <w:rPr>
                <w:color w:val="auto"/>
                <w:szCs w:val="21"/>
              </w:rPr>
            </w:pPr>
            <w:r>
              <w:rPr>
                <w:rFonts w:hint="eastAsia"/>
                <w:color w:val="auto"/>
                <w:szCs w:val="21"/>
              </w:rPr>
              <w:t>备注</w:t>
            </w:r>
          </w:p>
        </w:tc>
      </w:tr>
      <w:tr w14:paraId="0170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12AB6818">
            <w:pPr>
              <w:jc w:val="center"/>
              <w:rPr>
                <w:color w:val="auto"/>
                <w:szCs w:val="21"/>
              </w:rPr>
            </w:pPr>
            <w:r>
              <w:rPr>
                <w:rFonts w:hint="eastAsia"/>
                <w:color w:val="auto"/>
                <w:szCs w:val="21"/>
              </w:rPr>
              <w:t>1</w:t>
            </w:r>
          </w:p>
        </w:tc>
        <w:tc>
          <w:tcPr>
            <w:tcW w:w="0" w:type="auto"/>
            <w:vAlign w:val="center"/>
          </w:tcPr>
          <w:p w14:paraId="54C5158B">
            <w:pPr>
              <w:jc w:val="center"/>
              <w:rPr>
                <w:color w:val="auto"/>
                <w:szCs w:val="21"/>
              </w:rPr>
            </w:pPr>
            <w:r>
              <w:rPr>
                <w:rFonts w:hint="eastAsia"/>
                <w:color w:val="auto"/>
                <w:szCs w:val="21"/>
              </w:rPr>
              <w:t>泵壳</w:t>
            </w:r>
          </w:p>
        </w:tc>
        <w:tc>
          <w:tcPr>
            <w:tcW w:w="0" w:type="auto"/>
            <w:vAlign w:val="center"/>
          </w:tcPr>
          <w:p w14:paraId="27D85183">
            <w:pPr>
              <w:jc w:val="center"/>
              <w:rPr>
                <w:color w:val="auto"/>
                <w:szCs w:val="21"/>
              </w:rPr>
            </w:pPr>
            <w:r>
              <w:rPr>
                <w:rFonts w:hint="eastAsia"/>
                <w:color w:val="auto"/>
                <w:szCs w:val="21"/>
              </w:rPr>
              <w:t>铸铁</w:t>
            </w:r>
          </w:p>
          <w:p w14:paraId="30BBC42A">
            <w:pPr>
              <w:jc w:val="center"/>
              <w:rPr>
                <w:color w:val="auto"/>
                <w:szCs w:val="21"/>
              </w:rPr>
            </w:pPr>
            <w:r>
              <w:rPr>
                <w:rFonts w:hint="eastAsia"/>
                <w:color w:val="auto"/>
                <w:szCs w:val="21"/>
              </w:rPr>
              <w:t>（HT250/QT450）</w:t>
            </w:r>
          </w:p>
        </w:tc>
        <w:tc>
          <w:tcPr>
            <w:tcW w:w="0" w:type="auto"/>
            <w:vAlign w:val="center"/>
          </w:tcPr>
          <w:p w14:paraId="2E61543A">
            <w:pPr>
              <w:jc w:val="center"/>
              <w:rPr>
                <w:color w:val="auto"/>
                <w:szCs w:val="21"/>
              </w:rPr>
            </w:pPr>
          </w:p>
        </w:tc>
        <w:tc>
          <w:tcPr>
            <w:tcW w:w="0" w:type="auto"/>
            <w:vAlign w:val="center"/>
          </w:tcPr>
          <w:p w14:paraId="66E90E28">
            <w:pPr>
              <w:jc w:val="center"/>
              <w:rPr>
                <w:color w:val="auto"/>
                <w:szCs w:val="21"/>
              </w:rPr>
            </w:pPr>
          </w:p>
        </w:tc>
        <w:tc>
          <w:tcPr>
            <w:tcW w:w="0" w:type="auto"/>
            <w:vAlign w:val="center"/>
          </w:tcPr>
          <w:p w14:paraId="15D1139D">
            <w:pPr>
              <w:jc w:val="center"/>
              <w:rPr>
                <w:color w:val="auto"/>
                <w:szCs w:val="21"/>
              </w:rPr>
            </w:pPr>
          </w:p>
        </w:tc>
        <w:tc>
          <w:tcPr>
            <w:tcW w:w="0" w:type="auto"/>
            <w:vAlign w:val="center"/>
          </w:tcPr>
          <w:p w14:paraId="10EA23E9">
            <w:pPr>
              <w:jc w:val="center"/>
              <w:rPr>
                <w:color w:val="auto"/>
                <w:szCs w:val="21"/>
              </w:rPr>
            </w:pPr>
          </w:p>
        </w:tc>
      </w:tr>
      <w:tr w14:paraId="0B14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0F0D03B">
            <w:pPr>
              <w:jc w:val="center"/>
              <w:rPr>
                <w:color w:val="auto"/>
                <w:szCs w:val="21"/>
              </w:rPr>
            </w:pPr>
            <w:r>
              <w:rPr>
                <w:rFonts w:hint="eastAsia"/>
                <w:color w:val="auto"/>
                <w:szCs w:val="21"/>
              </w:rPr>
              <w:t>2</w:t>
            </w:r>
          </w:p>
        </w:tc>
        <w:tc>
          <w:tcPr>
            <w:tcW w:w="0" w:type="auto"/>
            <w:vAlign w:val="center"/>
          </w:tcPr>
          <w:p w14:paraId="417141A6">
            <w:pPr>
              <w:jc w:val="center"/>
              <w:rPr>
                <w:color w:val="auto"/>
                <w:szCs w:val="21"/>
              </w:rPr>
            </w:pPr>
            <w:r>
              <w:rPr>
                <w:rFonts w:hint="eastAsia"/>
                <w:color w:val="auto"/>
                <w:szCs w:val="21"/>
              </w:rPr>
              <w:t>密封环</w:t>
            </w:r>
          </w:p>
        </w:tc>
        <w:tc>
          <w:tcPr>
            <w:tcW w:w="0" w:type="auto"/>
            <w:vAlign w:val="center"/>
          </w:tcPr>
          <w:p w14:paraId="30F056EC">
            <w:pPr>
              <w:jc w:val="center"/>
              <w:rPr>
                <w:color w:val="auto"/>
                <w:szCs w:val="21"/>
              </w:rPr>
            </w:pPr>
            <w:r>
              <w:rPr>
                <w:rFonts w:hint="eastAsia"/>
                <w:color w:val="auto"/>
                <w:szCs w:val="21"/>
              </w:rPr>
              <w:t>青铜</w:t>
            </w:r>
          </w:p>
          <w:p w14:paraId="0F435881">
            <w:pPr>
              <w:jc w:val="center"/>
              <w:rPr>
                <w:color w:val="auto"/>
                <w:szCs w:val="21"/>
              </w:rPr>
            </w:pPr>
            <w:r>
              <w:rPr>
                <w:rFonts w:hint="eastAsia"/>
                <w:color w:val="auto"/>
                <w:szCs w:val="21"/>
              </w:rPr>
              <w:t>（ZCuSn5Pb5Zn5）</w:t>
            </w:r>
          </w:p>
        </w:tc>
        <w:tc>
          <w:tcPr>
            <w:tcW w:w="0" w:type="auto"/>
            <w:vAlign w:val="center"/>
          </w:tcPr>
          <w:p w14:paraId="25A70C41">
            <w:pPr>
              <w:jc w:val="center"/>
              <w:rPr>
                <w:color w:val="auto"/>
                <w:szCs w:val="21"/>
              </w:rPr>
            </w:pPr>
          </w:p>
        </w:tc>
        <w:tc>
          <w:tcPr>
            <w:tcW w:w="0" w:type="auto"/>
            <w:vAlign w:val="center"/>
          </w:tcPr>
          <w:p w14:paraId="148DE6B8">
            <w:pPr>
              <w:jc w:val="center"/>
              <w:rPr>
                <w:color w:val="auto"/>
                <w:szCs w:val="21"/>
              </w:rPr>
            </w:pPr>
          </w:p>
        </w:tc>
        <w:tc>
          <w:tcPr>
            <w:tcW w:w="0" w:type="auto"/>
            <w:vAlign w:val="center"/>
          </w:tcPr>
          <w:p w14:paraId="22D8D0CD">
            <w:pPr>
              <w:jc w:val="center"/>
              <w:rPr>
                <w:color w:val="auto"/>
                <w:szCs w:val="21"/>
              </w:rPr>
            </w:pPr>
          </w:p>
        </w:tc>
        <w:tc>
          <w:tcPr>
            <w:tcW w:w="0" w:type="auto"/>
            <w:vAlign w:val="center"/>
          </w:tcPr>
          <w:p w14:paraId="72CF0589">
            <w:pPr>
              <w:jc w:val="center"/>
              <w:rPr>
                <w:color w:val="auto"/>
                <w:szCs w:val="21"/>
              </w:rPr>
            </w:pPr>
          </w:p>
        </w:tc>
      </w:tr>
      <w:tr w14:paraId="4CC4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26DCB7D3">
            <w:pPr>
              <w:jc w:val="center"/>
              <w:rPr>
                <w:color w:val="auto"/>
                <w:szCs w:val="21"/>
              </w:rPr>
            </w:pPr>
            <w:r>
              <w:rPr>
                <w:rFonts w:hint="eastAsia"/>
                <w:color w:val="auto"/>
                <w:szCs w:val="21"/>
              </w:rPr>
              <w:t>3</w:t>
            </w:r>
          </w:p>
        </w:tc>
        <w:tc>
          <w:tcPr>
            <w:tcW w:w="0" w:type="auto"/>
            <w:vAlign w:val="center"/>
          </w:tcPr>
          <w:p w14:paraId="7C84D90A">
            <w:pPr>
              <w:jc w:val="center"/>
              <w:rPr>
                <w:color w:val="auto"/>
                <w:szCs w:val="21"/>
              </w:rPr>
            </w:pPr>
            <w:r>
              <w:rPr>
                <w:rFonts w:hint="eastAsia"/>
                <w:color w:val="auto"/>
                <w:szCs w:val="21"/>
              </w:rPr>
              <w:t>叶轮</w:t>
            </w:r>
          </w:p>
        </w:tc>
        <w:tc>
          <w:tcPr>
            <w:tcW w:w="0" w:type="auto"/>
            <w:vAlign w:val="center"/>
          </w:tcPr>
          <w:p w14:paraId="0F87481A">
            <w:pPr>
              <w:jc w:val="center"/>
              <w:rPr>
                <w:color w:val="auto"/>
                <w:szCs w:val="21"/>
              </w:rPr>
            </w:pPr>
            <w:r>
              <w:rPr>
                <w:rFonts w:hint="eastAsia"/>
                <w:color w:val="auto"/>
                <w:szCs w:val="21"/>
              </w:rPr>
              <w:t>青铜</w:t>
            </w:r>
          </w:p>
          <w:p w14:paraId="53E5BD79">
            <w:pPr>
              <w:jc w:val="center"/>
              <w:rPr>
                <w:color w:val="auto"/>
                <w:szCs w:val="21"/>
              </w:rPr>
            </w:pPr>
            <w:r>
              <w:rPr>
                <w:rFonts w:hint="eastAsia"/>
                <w:color w:val="auto"/>
                <w:szCs w:val="21"/>
              </w:rPr>
              <w:t>（ZCuSn5Pb5Zn5）</w:t>
            </w:r>
          </w:p>
        </w:tc>
        <w:tc>
          <w:tcPr>
            <w:tcW w:w="0" w:type="auto"/>
            <w:vAlign w:val="center"/>
          </w:tcPr>
          <w:p w14:paraId="2FA2B55B">
            <w:pPr>
              <w:jc w:val="center"/>
              <w:rPr>
                <w:color w:val="auto"/>
                <w:szCs w:val="21"/>
              </w:rPr>
            </w:pPr>
          </w:p>
        </w:tc>
        <w:tc>
          <w:tcPr>
            <w:tcW w:w="0" w:type="auto"/>
            <w:vAlign w:val="center"/>
          </w:tcPr>
          <w:p w14:paraId="10143B34">
            <w:pPr>
              <w:jc w:val="center"/>
              <w:rPr>
                <w:color w:val="auto"/>
                <w:szCs w:val="21"/>
              </w:rPr>
            </w:pPr>
          </w:p>
        </w:tc>
        <w:tc>
          <w:tcPr>
            <w:tcW w:w="0" w:type="auto"/>
            <w:vAlign w:val="center"/>
          </w:tcPr>
          <w:p w14:paraId="732FF6E1">
            <w:pPr>
              <w:jc w:val="center"/>
              <w:rPr>
                <w:color w:val="auto"/>
                <w:szCs w:val="21"/>
              </w:rPr>
            </w:pPr>
          </w:p>
        </w:tc>
        <w:tc>
          <w:tcPr>
            <w:tcW w:w="0" w:type="auto"/>
            <w:vAlign w:val="center"/>
          </w:tcPr>
          <w:p w14:paraId="121F1066">
            <w:pPr>
              <w:jc w:val="center"/>
              <w:rPr>
                <w:color w:val="auto"/>
                <w:szCs w:val="21"/>
              </w:rPr>
            </w:pPr>
          </w:p>
        </w:tc>
      </w:tr>
      <w:tr w14:paraId="6A53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36E6F80F">
            <w:pPr>
              <w:jc w:val="center"/>
              <w:rPr>
                <w:color w:val="auto"/>
                <w:szCs w:val="21"/>
              </w:rPr>
            </w:pPr>
            <w:r>
              <w:rPr>
                <w:rFonts w:hint="eastAsia"/>
                <w:color w:val="auto"/>
                <w:szCs w:val="21"/>
              </w:rPr>
              <w:t>4</w:t>
            </w:r>
          </w:p>
        </w:tc>
        <w:tc>
          <w:tcPr>
            <w:tcW w:w="0" w:type="auto"/>
            <w:vAlign w:val="center"/>
          </w:tcPr>
          <w:p w14:paraId="55C72C31">
            <w:pPr>
              <w:jc w:val="center"/>
              <w:rPr>
                <w:color w:val="auto"/>
                <w:szCs w:val="21"/>
              </w:rPr>
            </w:pPr>
            <w:r>
              <w:rPr>
                <w:rFonts w:hint="eastAsia"/>
                <w:color w:val="auto"/>
                <w:szCs w:val="21"/>
              </w:rPr>
              <w:t>联接架</w:t>
            </w:r>
          </w:p>
        </w:tc>
        <w:tc>
          <w:tcPr>
            <w:tcW w:w="0" w:type="auto"/>
            <w:vAlign w:val="center"/>
          </w:tcPr>
          <w:p w14:paraId="54F73E59">
            <w:pPr>
              <w:jc w:val="center"/>
              <w:rPr>
                <w:color w:val="auto"/>
                <w:szCs w:val="21"/>
              </w:rPr>
            </w:pPr>
            <w:r>
              <w:rPr>
                <w:rFonts w:hint="eastAsia"/>
                <w:color w:val="auto"/>
                <w:szCs w:val="21"/>
              </w:rPr>
              <w:t>铸铁</w:t>
            </w:r>
          </w:p>
          <w:p w14:paraId="2C1FC169">
            <w:pPr>
              <w:jc w:val="center"/>
              <w:rPr>
                <w:color w:val="auto"/>
                <w:szCs w:val="21"/>
              </w:rPr>
            </w:pPr>
            <w:r>
              <w:rPr>
                <w:rFonts w:hint="eastAsia"/>
                <w:color w:val="auto"/>
                <w:szCs w:val="21"/>
              </w:rPr>
              <w:t>（HT250/QT450）</w:t>
            </w:r>
          </w:p>
        </w:tc>
        <w:tc>
          <w:tcPr>
            <w:tcW w:w="0" w:type="auto"/>
            <w:vAlign w:val="center"/>
          </w:tcPr>
          <w:p w14:paraId="594BB442">
            <w:pPr>
              <w:jc w:val="center"/>
              <w:rPr>
                <w:color w:val="auto"/>
                <w:szCs w:val="21"/>
              </w:rPr>
            </w:pPr>
          </w:p>
        </w:tc>
        <w:tc>
          <w:tcPr>
            <w:tcW w:w="0" w:type="auto"/>
            <w:vAlign w:val="center"/>
          </w:tcPr>
          <w:p w14:paraId="484F1D05">
            <w:pPr>
              <w:jc w:val="center"/>
              <w:rPr>
                <w:color w:val="auto"/>
                <w:szCs w:val="21"/>
              </w:rPr>
            </w:pPr>
          </w:p>
        </w:tc>
        <w:tc>
          <w:tcPr>
            <w:tcW w:w="0" w:type="auto"/>
            <w:vAlign w:val="center"/>
          </w:tcPr>
          <w:p w14:paraId="1E1928E0">
            <w:pPr>
              <w:jc w:val="center"/>
              <w:rPr>
                <w:color w:val="auto"/>
                <w:szCs w:val="21"/>
              </w:rPr>
            </w:pPr>
          </w:p>
        </w:tc>
        <w:tc>
          <w:tcPr>
            <w:tcW w:w="0" w:type="auto"/>
            <w:vAlign w:val="center"/>
          </w:tcPr>
          <w:p w14:paraId="4641EDF8">
            <w:pPr>
              <w:jc w:val="center"/>
              <w:rPr>
                <w:color w:val="auto"/>
                <w:szCs w:val="21"/>
              </w:rPr>
            </w:pPr>
          </w:p>
        </w:tc>
      </w:tr>
      <w:tr w14:paraId="723D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11F429B7">
            <w:pPr>
              <w:jc w:val="center"/>
              <w:rPr>
                <w:color w:val="auto"/>
                <w:szCs w:val="21"/>
              </w:rPr>
            </w:pPr>
            <w:r>
              <w:rPr>
                <w:rFonts w:hint="eastAsia"/>
                <w:color w:val="auto"/>
                <w:szCs w:val="21"/>
              </w:rPr>
              <w:t>5</w:t>
            </w:r>
          </w:p>
        </w:tc>
        <w:tc>
          <w:tcPr>
            <w:tcW w:w="0" w:type="auto"/>
            <w:vAlign w:val="center"/>
          </w:tcPr>
          <w:p w14:paraId="5EF1057B">
            <w:pPr>
              <w:jc w:val="center"/>
              <w:rPr>
                <w:color w:val="auto"/>
                <w:szCs w:val="21"/>
              </w:rPr>
            </w:pPr>
            <w:r>
              <w:rPr>
                <w:rFonts w:hint="eastAsia"/>
                <w:color w:val="auto"/>
                <w:szCs w:val="21"/>
              </w:rPr>
              <w:t>联接环</w:t>
            </w:r>
          </w:p>
        </w:tc>
        <w:tc>
          <w:tcPr>
            <w:tcW w:w="0" w:type="auto"/>
            <w:vAlign w:val="center"/>
          </w:tcPr>
          <w:p w14:paraId="5F6C1BC5">
            <w:pPr>
              <w:jc w:val="center"/>
              <w:rPr>
                <w:color w:val="auto"/>
                <w:szCs w:val="21"/>
              </w:rPr>
            </w:pPr>
            <w:r>
              <w:rPr>
                <w:rFonts w:hint="eastAsia"/>
                <w:color w:val="auto"/>
                <w:szCs w:val="21"/>
              </w:rPr>
              <w:t>铸铁(HT250)</w:t>
            </w:r>
          </w:p>
        </w:tc>
        <w:tc>
          <w:tcPr>
            <w:tcW w:w="0" w:type="auto"/>
            <w:vAlign w:val="center"/>
          </w:tcPr>
          <w:p w14:paraId="51723779">
            <w:pPr>
              <w:jc w:val="center"/>
              <w:rPr>
                <w:color w:val="auto"/>
                <w:szCs w:val="21"/>
              </w:rPr>
            </w:pPr>
          </w:p>
        </w:tc>
        <w:tc>
          <w:tcPr>
            <w:tcW w:w="0" w:type="auto"/>
            <w:vAlign w:val="center"/>
          </w:tcPr>
          <w:p w14:paraId="25C6EDCE">
            <w:pPr>
              <w:jc w:val="center"/>
              <w:rPr>
                <w:color w:val="auto"/>
                <w:szCs w:val="21"/>
              </w:rPr>
            </w:pPr>
          </w:p>
        </w:tc>
        <w:tc>
          <w:tcPr>
            <w:tcW w:w="0" w:type="auto"/>
            <w:vAlign w:val="center"/>
          </w:tcPr>
          <w:p w14:paraId="5B9DD14D">
            <w:pPr>
              <w:jc w:val="center"/>
              <w:rPr>
                <w:color w:val="auto"/>
                <w:szCs w:val="21"/>
              </w:rPr>
            </w:pPr>
          </w:p>
        </w:tc>
        <w:tc>
          <w:tcPr>
            <w:tcW w:w="0" w:type="auto"/>
            <w:vAlign w:val="center"/>
          </w:tcPr>
          <w:p w14:paraId="50734C2A">
            <w:pPr>
              <w:jc w:val="center"/>
              <w:rPr>
                <w:color w:val="auto"/>
                <w:szCs w:val="21"/>
              </w:rPr>
            </w:pPr>
          </w:p>
        </w:tc>
      </w:tr>
      <w:tr w14:paraId="1F31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492AEAF7">
            <w:pPr>
              <w:jc w:val="center"/>
              <w:rPr>
                <w:color w:val="auto"/>
                <w:szCs w:val="21"/>
              </w:rPr>
            </w:pPr>
            <w:r>
              <w:rPr>
                <w:rFonts w:hint="eastAsia"/>
                <w:color w:val="auto"/>
                <w:szCs w:val="21"/>
              </w:rPr>
              <w:t>6</w:t>
            </w:r>
          </w:p>
        </w:tc>
        <w:tc>
          <w:tcPr>
            <w:tcW w:w="0" w:type="auto"/>
            <w:vAlign w:val="center"/>
          </w:tcPr>
          <w:p w14:paraId="0E84E32B">
            <w:pPr>
              <w:jc w:val="center"/>
              <w:rPr>
                <w:color w:val="auto"/>
                <w:szCs w:val="21"/>
              </w:rPr>
            </w:pPr>
            <w:r>
              <w:rPr>
                <w:rFonts w:hint="eastAsia"/>
                <w:color w:val="auto"/>
                <w:szCs w:val="21"/>
              </w:rPr>
              <w:t>联接架保护罩</w:t>
            </w:r>
          </w:p>
        </w:tc>
        <w:tc>
          <w:tcPr>
            <w:tcW w:w="0" w:type="auto"/>
            <w:vAlign w:val="center"/>
          </w:tcPr>
          <w:p w14:paraId="1B0BAF81">
            <w:pPr>
              <w:jc w:val="center"/>
              <w:rPr>
                <w:color w:val="auto"/>
                <w:szCs w:val="21"/>
              </w:rPr>
            </w:pPr>
            <w:r>
              <w:rPr>
                <w:rFonts w:hint="eastAsia"/>
                <w:color w:val="auto"/>
                <w:szCs w:val="21"/>
              </w:rPr>
              <w:t>SUS304(06Cr19Ni10)</w:t>
            </w:r>
          </w:p>
        </w:tc>
        <w:tc>
          <w:tcPr>
            <w:tcW w:w="0" w:type="auto"/>
            <w:vAlign w:val="center"/>
          </w:tcPr>
          <w:p w14:paraId="2A58BB43">
            <w:pPr>
              <w:jc w:val="center"/>
              <w:rPr>
                <w:color w:val="auto"/>
                <w:szCs w:val="21"/>
              </w:rPr>
            </w:pPr>
          </w:p>
        </w:tc>
        <w:tc>
          <w:tcPr>
            <w:tcW w:w="0" w:type="auto"/>
            <w:vAlign w:val="center"/>
          </w:tcPr>
          <w:p w14:paraId="2914B330">
            <w:pPr>
              <w:jc w:val="center"/>
              <w:rPr>
                <w:color w:val="auto"/>
                <w:szCs w:val="21"/>
              </w:rPr>
            </w:pPr>
          </w:p>
        </w:tc>
        <w:tc>
          <w:tcPr>
            <w:tcW w:w="0" w:type="auto"/>
            <w:vAlign w:val="center"/>
          </w:tcPr>
          <w:p w14:paraId="1A2AF49C">
            <w:pPr>
              <w:jc w:val="center"/>
              <w:rPr>
                <w:color w:val="auto"/>
                <w:szCs w:val="21"/>
              </w:rPr>
            </w:pPr>
          </w:p>
        </w:tc>
        <w:tc>
          <w:tcPr>
            <w:tcW w:w="0" w:type="auto"/>
            <w:vAlign w:val="center"/>
          </w:tcPr>
          <w:p w14:paraId="7CF6B2AD">
            <w:pPr>
              <w:jc w:val="center"/>
              <w:rPr>
                <w:color w:val="auto"/>
                <w:szCs w:val="21"/>
              </w:rPr>
            </w:pPr>
          </w:p>
        </w:tc>
      </w:tr>
      <w:tr w14:paraId="2BB7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49C4FEC4">
            <w:pPr>
              <w:jc w:val="center"/>
              <w:rPr>
                <w:color w:val="auto"/>
                <w:szCs w:val="21"/>
              </w:rPr>
            </w:pPr>
            <w:r>
              <w:rPr>
                <w:rFonts w:hint="eastAsia"/>
                <w:color w:val="auto"/>
                <w:szCs w:val="21"/>
              </w:rPr>
              <w:t>7</w:t>
            </w:r>
          </w:p>
        </w:tc>
        <w:tc>
          <w:tcPr>
            <w:tcW w:w="0" w:type="auto"/>
            <w:vAlign w:val="center"/>
          </w:tcPr>
          <w:p w14:paraId="256E856A">
            <w:pPr>
              <w:jc w:val="center"/>
              <w:rPr>
                <w:color w:val="auto"/>
                <w:szCs w:val="21"/>
              </w:rPr>
            </w:pPr>
            <w:r>
              <w:rPr>
                <w:rFonts w:hint="eastAsia"/>
                <w:color w:val="auto"/>
                <w:szCs w:val="21"/>
              </w:rPr>
              <w:t>O型圈</w:t>
            </w:r>
          </w:p>
        </w:tc>
        <w:tc>
          <w:tcPr>
            <w:tcW w:w="0" w:type="auto"/>
            <w:vAlign w:val="center"/>
          </w:tcPr>
          <w:p w14:paraId="1C00EFAE">
            <w:pPr>
              <w:jc w:val="center"/>
              <w:rPr>
                <w:color w:val="auto"/>
                <w:szCs w:val="21"/>
              </w:rPr>
            </w:pPr>
            <w:r>
              <w:rPr>
                <w:rFonts w:hint="eastAsia"/>
                <w:color w:val="auto"/>
                <w:szCs w:val="21"/>
              </w:rPr>
              <w:t>NBR</w:t>
            </w:r>
          </w:p>
        </w:tc>
        <w:tc>
          <w:tcPr>
            <w:tcW w:w="0" w:type="auto"/>
            <w:vAlign w:val="center"/>
          </w:tcPr>
          <w:p w14:paraId="6AF79437">
            <w:pPr>
              <w:jc w:val="center"/>
              <w:rPr>
                <w:color w:val="auto"/>
                <w:szCs w:val="21"/>
              </w:rPr>
            </w:pPr>
          </w:p>
        </w:tc>
        <w:tc>
          <w:tcPr>
            <w:tcW w:w="0" w:type="auto"/>
            <w:vAlign w:val="center"/>
          </w:tcPr>
          <w:p w14:paraId="36FDF00D">
            <w:pPr>
              <w:jc w:val="center"/>
              <w:rPr>
                <w:color w:val="auto"/>
                <w:szCs w:val="21"/>
              </w:rPr>
            </w:pPr>
          </w:p>
        </w:tc>
        <w:tc>
          <w:tcPr>
            <w:tcW w:w="0" w:type="auto"/>
            <w:vAlign w:val="center"/>
          </w:tcPr>
          <w:p w14:paraId="46EEF61E">
            <w:pPr>
              <w:jc w:val="center"/>
              <w:rPr>
                <w:color w:val="auto"/>
                <w:szCs w:val="21"/>
              </w:rPr>
            </w:pPr>
          </w:p>
        </w:tc>
        <w:tc>
          <w:tcPr>
            <w:tcW w:w="0" w:type="auto"/>
            <w:vAlign w:val="center"/>
          </w:tcPr>
          <w:p w14:paraId="5864BD1B">
            <w:pPr>
              <w:jc w:val="center"/>
              <w:rPr>
                <w:color w:val="auto"/>
                <w:szCs w:val="21"/>
              </w:rPr>
            </w:pPr>
          </w:p>
        </w:tc>
      </w:tr>
      <w:tr w14:paraId="0BF1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3D35B8FA">
            <w:pPr>
              <w:jc w:val="center"/>
              <w:rPr>
                <w:color w:val="auto"/>
                <w:szCs w:val="21"/>
              </w:rPr>
            </w:pPr>
            <w:r>
              <w:rPr>
                <w:rFonts w:hint="eastAsia"/>
                <w:color w:val="auto"/>
                <w:szCs w:val="21"/>
              </w:rPr>
              <w:t>8</w:t>
            </w:r>
          </w:p>
        </w:tc>
        <w:tc>
          <w:tcPr>
            <w:tcW w:w="0" w:type="auto"/>
            <w:vAlign w:val="center"/>
          </w:tcPr>
          <w:p w14:paraId="51061687">
            <w:pPr>
              <w:jc w:val="center"/>
              <w:rPr>
                <w:color w:val="auto"/>
                <w:szCs w:val="21"/>
              </w:rPr>
            </w:pPr>
            <w:r>
              <w:rPr>
                <w:rFonts w:hint="eastAsia"/>
                <w:color w:val="auto"/>
                <w:szCs w:val="21"/>
              </w:rPr>
              <w:t>机械密封</w:t>
            </w:r>
          </w:p>
        </w:tc>
        <w:tc>
          <w:tcPr>
            <w:tcW w:w="0" w:type="auto"/>
            <w:vAlign w:val="center"/>
          </w:tcPr>
          <w:p w14:paraId="719B0C5C">
            <w:pPr>
              <w:jc w:val="center"/>
              <w:rPr>
                <w:color w:val="auto"/>
                <w:szCs w:val="21"/>
              </w:rPr>
            </w:pPr>
            <w:r>
              <w:rPr>
                <w:rFonts w:hint="eastAsia"/>
                <w:color w:val="auto"/>
                <w:szCs w:val="21"/>
              </w:rPr>
              <w:t>陶瓷/石墨/NBR</w:t>
            </w:r>
          </w:p>
        </w:tc>
        <w:tc>
          <w:tcPr>
            <w:tcW w:w="0" w:type="auto"/>
            <w:vAlign w:val="center"/>
          </w:tcPr>
          <w:p w14:paraId="64362506">
            <w:pPr>
              <w:jc w:val="center"/>
              <w:rPr>
                <w:color w:val="auto"/>
                <w:szCs w:val="21"/>
              </w:rPr>
            </w:pPr>
          </w:p>
        </w:tc>
        <w:tc>
          <w:tcPr>
            <w:tcW w:w="0" w:type="auto"/>
            <w:vAlign w:val="center"/>
          </w:tcPr>
          <w:p w14:paraId="0C373DE9">
            <w:pPr>
              <w:jc w:val="center"/>
              <w:rPr>
                <w:color w:val="auto"/>
                <w:szCs w:val="21"/>
              </w:rPr>
            </w:pPr>
          </w:p>
        </w:tc>
        <w:tc>
          <w:tcPr>
            <w:tcW w:w="0" w:type="auto"/>
            <w:vAlign w:val="center"/>
          </w:tcPr>
          <w:p w14:paraId="3E4EC83F">
            <w:pPr>
              <w:jc w:val="center"/>
              <w:rPr>
                <w:color w:val="auto"/>
                <w:szCs w:val="21"/>
              </w:rPr>
            </w:pPr>
          </w:p>
        </w:tc>
        <w:tc>
          <w:tcPr>
            <w:tcW w:w="0" w:type="auto"/>
            <w:vAlign w:val="center"/>
          </w:tcPr>
          <w:p w14:paraId="6F64DFFE">
            <w:pPr>
              <w:jc w:val="center"/>
              <w:rPr>
                <w:color w:val="auto"/>
                <w:szCs w:val="21"/>
              </w:rPr>
            </w:pPr>
          </w:p>
        </w:tc>
      </w:tr>
      <w:tr w14:paraId="6800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D4D0A3F">
            <w:pPr>
              <w:jc w:val="center"/>
              <w:rPr>
                <w:color w:val="auto"/>
                <w:szCs w:val="21"/>
              </w:rPr>
            </w:pPr>
            <w:r>
              <w:rPr>
                <w:rFonts w:hint="eastAsia"/>
                <w:color w:val="auto"/>
                <w:szCs w:val="21"/>
              </w:rPr>
              <w:t>9</w:t>
            </w:r>
          </w:p>
        </w:tc>
        <w:tc>
          <w:tcPr>
            <w:tcW w:w="0" w:type="auto"/>
            <w:vAlign w:val="center"/>
          </w:tcPr>
          <w:p w14:paraId="6F8EF68A">
            <w:pPr>
              <w:jc w:val="center"/>
              <w:rPr>
                <w:color w:val="auto"/>
                <w:szCs w:val="21"/>
              </w:rPr>
            </w:pPr>
            <w:r>
              <w:rPr>
                <w:rFonts w:hint="eastAsia"/>
                <w:color w:val="auto"/>
                <w:szCs w:val="21"/>
              </w:rPr>
              <w:t>延长轴</w:t>
            </w:r>
          </w:p>
        </w:tc>
        <w:tc>
          <w:tcPr>
            <w:tcW w:w="0" w:type="auto"/>
            <w:vAlign w:val="center"/>
          </w:tcPr>
          <w:p w14:paraId="5A94FC4D">
            <w:pPr>
              <w:jc w:val="center"/>
              <w:rPr>
                <w:color w:val="auto"/>
                <w:szCs w:val="21"/>
              </w:rPr>
            </w:pPr>
            <w:r>
              <w:rPr>
                <w:rFonts w:hint="eastAsia"/>
                <w:color w:val="auto"/>
                <w:szCs w:val="21"/>
              </w:rPr>
              <w:t>SUS420（20Cr13）</w:t>
            </w:r>
          </w:p>
        </w:tc>
        <w:tc>
          <w:tcPr>
            <w:tcW w:w="0" w:type="auto"/>
            <w:vAlign w:val="center"/>
          </w:tcPr>
          <w:p w14:paraId="209FECAB">
            <w:pPr>
              <w:jc w:val="center"/>
              <w:rPr>
                <w:color w:val="auto"/>
                <w:szCs w:val="21"/>
              </w:rPr>
            </w:pPr>
          </w:p>
        </w:tc>
        <w:tc>
          <w:tcPr>
            <w:tcW w:w="0" w:type="auto"/>
            <w:vAlign w:val="center"/>
          </w:tcPr>
          <w:p w14:paraId="324715AB">
            <w:pPr>
              <w:jc w:val="center"/>
              <w:rPr>
                <w:color w:val="auto"/>
                <w:szCs w:val="21"/>
              </w:rPr>
            </w:pPr>
          </w:p>
        </w:tc>
        <w:tc>
          <w:tcPr>
            <w:tcW w:w="0" w:type="auto"/>
            <w:vAlign w:val="center"/>
          </w:tcPr>
          <w:p w14:paraId="6C1707C7">
            <w:pPr>
              <w:jc w:val="center"/>
              <w:rPr>
                <w:color w:val="auto"/>
                <w:szCs w:val="21"/>
              </w:rPr>
            </w:pPr>
          </w:p>
        </w:tc>
        <w:tc>
          <w:tcPr>
            <w:tcW w:w="0" w:type="auto"/>
            <w:vAlign w:val="center"/>
          </w:tcPr>
          <w:p w14:paraId="4A924225">
            <w:pPr>
              <w:jc w:val="center"/>
              <w:rPr>
                <w:color w:val="auto"/>
                <w:szCs w:val="21"/>
              </w:rPr>
            </w:pPr>
          </w:p>
        </w:tc>
      </w:tr>
      <w:tr w14:paraId="45FE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74287E3C">
            <w:pPr>
              <w:jc w:val="center"/>
              <w:rPr>
                <w:color w:val="auto"/>
                <w:szCs w:val="21"/>
              </w:rPr>
            </w:pPr>
            <w:r>
              <w:rPr>
                <w:rFonts w:hint="eastAsia"/>
                <w:color w:val="auto"/>
                <w:szCs w:val="21"/>
              </w:rPr>
              <w:t>10</w:t>
            </w:r>
          </w:p>
        </w:tc>
        <w:tc>
          <w:tcPr>
            <w:tcW w:w="0" w:type="auto"/>
            <w:vAlign w:val="center"/>
          </w:tcPr>
          <w:p w14:paraId="507FC0DA">
            <w:pPr>
              <w:rPr>
                <w:color w:val="auto"/>
                <w:szCs w:val="21"/>
              </w:rPr>
            </w:pPr>
            <w:r>
              <w:rPr>
                <w:rFonts w:hint="eastAsia"/>
                <w:color w:val="auto"/>
                <w:szCs w:val="21"/>
              </w:rPr>
              <w:t>刚性联轴器</w:t>
            </w:r>
          </w:p>
        </w:tc>
        <w:tc>
          <w:tcPr>
            <w:tcW w:w="0" w:type="auto"/>
            <w:vAlign w:val="center"/>
          </w:tcPr>
          <w:p w14:paraId="50164B2E">
            <w:pPr>
              <w:jc w:val="center"/>
              <w:rPr>
                <w:color w:val="auto"/>
                <w:szCs w:val="21"/>
              </w:rPr>
            </w:pPr>
            <w:r>
              <w:rPr>
                <w:rFonts w:hint="eastAsia"/>
                <w:color w:val="auto"/>
                <w:szCs w:val="21"/>
              </w:rPr>
              <w:t>铸铁/碳钢+SUS304 (HT200/Q235+SUS304)</w:t>
            </w:r>
          </w:p>
        </w:tc>
        <w:tc>
          <w:tcPr>
            <w:tcW w:w="0" w:type="auto"/>
            <w:vAlign w:val="center"/>
          </w:tcPr>
          <w:p w14:paraId="024EF157">
            <w:pPr>
              <w:jc w:val="center"/>
              <w:rPr>
                <w:color w:val="auto"/>
                <w:szCs w:val="21"/>
              </w:rPr>
            </w:pPr>
          </w:p>
        </w:tc>
        <w:tc>
          <w:tcPr>
            <w:tcW w:w="0" w:type="auto"/>
            <w:vAlign w:val="center"/>
          </w:tcPr>
          <w:p w14:paraId="298D50FA">
            <w:pPr>
              <w:jc w:val="center"/>
              <w:rPr>
                <w:color w:val="auto"/>
                <w:szCs w:val="21"/>
              </w:rPr>
            </w:pPr>
          </w:p>
        </w:tc>
        <w:tc>
          <w:tcPr>
            <w:tcW w:w="0" w:type="auto"/>
            <w:vAlign w:val="center"/>
          </w:tcPr>
          <w:p w14:paraId="2D684D68">
            <w:pPr>
              <w:jc w:val="center"/>
              <w:rPr>
                <w:color w:val="auto"/>
                <w:szCs w:val="21"/>
              </w:rPr>
            </w:pPr>
          </w:p>
        </w:tc>
        <w:tc>
          <w:tcPr>
            <w:tcW w:w="0" w:type="auto"/>
            <w:vAlign w:val="center"/>
          </w:tcPr>
          <w:p w14:paraId="156E5D4F">
            <w:pPr>
              <w:jc w:val="center"/>
              <w:rPr>
                <w:color w:val="auto"/>
                <w:szCs w:val="21"/>
              </w:rPr>
            </w:pPr>
          </w:p>
        </w:tc>
      </w:tr>
      <w:tr w14:paraId="6CE7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4ADA9F39">
            <w:pPr>
              <w:jc w:val="center"/>
              <w:rPr>
                <w:color w:val="auto"/>
                <w:szCs w:val="21"/>
              </w:rPr>
            </w:pPr>
            <w:r>
              <w:rPr>
                <w:rFonts w:hint="eastAsia"/>
                <w:color w:val="auto"/>
                <w:szCs w:val="21"/>
              </w:rPr>
              <w:t>11</w:t>
            </w:r>
          </w:p>
        </w:tc>
        <w:tc>
          <w:tcPr>
            <w:tcW w:w="0" w:type="auto"/>
            <w:vAlign w:val="center"/>
          </w:tcPr>
          <w:p w14:paraId="401B3017">
            <w:pPr>
              <w:jc w:val="center"/>
              <w:rPr>
                <w:color w:val="auto"/>
                <w:szCs w:val="21"/>
              </w:rPr>
            </w:pPr>
            <w:r>
              <w:rPr>
                <w:rFonts w:hint="eastAsia"/>
                <w:color w:val="auto"/>
                <w:szCs w:val="21"/>
              </w:rPr>
              <w:t>联轴器螺栓</w:t>
            </w:r>
          </w:p>
        </w:tc>
        <w:tc>
          <w:tcPr>
            <w:tcW w:w="0" w:type="auto"/>
            <w:vAlign w:val="center"/>
          </w:tcPr>
          <w:p w14:paraId="6E10A8C9">
            <w:pPr>
              <w:jc w:val="center"/>
              <w:rPr>
                <w:color w:val="auto"/>
                <w:szCs w:val="21"/>
              </w:rPr>
            </w:pPr>
            <w:r>
              <w:rPr>
                <w:rFonts w:hint="eastAsia" w:ascii="宋体" w:hAnsi="宋体"/>
                <w:color w:val="auto"/>
                <w:szCs w:val="21"/>
              </w:rPr>
              <w:t>碳钢/NBR(Q235-A/NBR)</w:t>
            </w:r>
          </w:p>
        </w:tc>
        <w:tc>
          <w:tcPr>
            <w:tcW w:w="0" w:type="auto"/>
            <w:vAlign w:val="center"/>
          </w:tcPr>
          <w:p w14:paraId="10281D56">
            <w:pPr>
              <w:jc w:val="center"/>
              <w:rPr>
                <w:color w:val="auto"/>
                <w:szCs w:val="21"/>
              </w:rPr>
            </w:pPr>
          </w:p>
        </w:tc>
        <w:tc>
          <w:tcPr>
            <w:tcW w:w="0" w:type="auto"/>
            <w:vAlign w:val="center"/>
          </w:tcPr>
          <w:p w14:paraId="6DFA1886">
            <w:pPr>
              <w:jc w:val="center"/>
              <w:rPr>
                <w:color w:val="auto"/>
                <w:szCs w:val="21"/>
              </w:rPr>
            </w:pPr>
          </w:p>
        </w:tc>
        <w:tc>
          <w:tcPr>
            <w:tcW w:w="0" w:type="auto"/>
            <w:vAlign w:val="center"/>
          </w:tcPr>
          <w:p w14:paraId="2E8BB3EF">
            <w:pPr>
              <w:jc w:val="center"/>
              <w:rPr>
                <w:color w:val="auto"/>
                <w:szCs w:val="21"/>
              </w:rPr>
            </w:pPr>
          </w:p>
        </w:tc>
        <w:tc>
          <w:tcPr>
            <w:tcW w:w="0" w:type="auto"/>
            <w:vAlign w:val="center"/>
          </w:tcPr>
          <w:p w14:paraId="408296FD">
            <w:pPr>
              <w:jc w:val="center"/>
              <w:rPr>
                <w:color w:val="auto"/>
                <w:szCs w:val="21"/>
              </w:rPr>
            </w:pPr>
          </w:p>
        </w:tc>
      </w:tr>
      <w:tr w14:paraId="690C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7F874C45">
            <w:pPr>
              <w:jc w:val="center"/>
              <w:rPr>
                <w:color w:val="auto"/>
                <w:szCs w:val="21"/>
              </w:rPr>
            </w:pPr>
            <w:r>
              <w:rPr>
                <w:rFonts w:hint="eastAsia"/>
                <w:color w:val="auto"/>
                <w:szCs w:val="21"/>
              </w:rPr>
              <w:t>12</w:t>
            </w:r>
          </w:p>
        </w:tc>
        <w:tc>
          <w:tcPr>
            <w:tcW w:w="0" w:type="auto"/>
            <w:vAlign w:val="center"/>
          </w:tcPr>
          <w:p w14:paraId="0485FBD1">
            <w:pPr>
              <w:jc w:val="center"/>
              <w:rPr>
                <w:color w:val="auto"/>
                <w:szCs w:val="21"/>
              </w:rPr>
            </w:pPr>
            <w:r>
              <w:rPr>
                <w:rFonts w:hint="eastAsia"/>
                <w:color w:val="auto"/>
                <w:szCs w:val="21"/>
              </w:rPr>
              <w:t>电机</w:t>
            </w:r>
          </w:p>
        </w:tc>
        <w:tc>
          <w:tcPr>
            <w:tcW w:w="0" w:type="auto"/>
            <w:vAlign w:val="center"/>
          </w:tcPr>
          <w:p w14:paraId="231A2112">
            <w:pPr>
              <w:jc w:val="center"/>
              <w:rPr>
                <w:color w:val="auto"/>
                <w:szCs w:val="21"/>
              </w:rPr>
            </w:pPr>
            <w:r>
              <w:rPr>
                <w:rFonts w:hint="eastAsia"/>
                <w:color w:val="auto"/>
                <w:szCs w:val="21"/>
              </w:rPr>
              <w:t>——</w:t>
            </w:r>
          </w:p>
        </w:tc>
        <w:tc>
          <w:tcPr>
            <w:tcW w:w="0" w:type="auto"/>
            <w:vAlign w:val="center"/>
          </w:tcPr>
          <w:p w14:paraId="3C738675">
            <w:pPr>
              <w:jc w:val="center"/>
              <w:rPr>
                <w:color w:val="auto"/>
                <w:szCs w:val="21"/>
              </w:rPr>
            </w:pPr>
          </w:p>
        </w:tc>
        <w:tc>
          <w:tcPr>
            <w:tcW w:w="0" w:type="auto"/>
            <w:vAlign w:val="center"/>
          </w:tcPr>
          <w:p w14:paraId="36FA04F4">
            <w:pPr>
              <w:jc w:val="center"/>
              <w:rPr>
                <w:color w:val="auto"/>
                <w:szCs w:val="21"/>
              </w:rPr>
            </w:pPr>
          </w:p>
        </w:tc>
        <w:tc>
          <w:tcPr>
            <w:tcW w:w="0" w:type="auto"/>
            <w:vAlign w:val="center"/>
          </w:tcPr>
          <w:p w14:paraId="309CE54D">
            <w:pPr>
              <w:jc w:val="center"/>
              <w:rPr>
                <w:color w:val="auto"/>
                <w:szCs w:val="21"/>
              </w:rPr>
            </w:pPr>
          </w:p>
        </w:tc>
        <w:tc>
          <w:tcPr>
            <w:tcW w:w="0" w:type="auto"/>
            <w:vAlign w:val="center"/>
          </w:tcPr>
          <w:p w14:paraId="0E157A97">
            <w:pPr>
              <w:jc w:val="center"/>
              <w:rPr>
                <w:color w:val="auto"/>
                <w:szCs w:val="21"/>
              </w:rPr>
            </w:pPr>
          </w:p>
        </w:tc>
      </w:tr>
    </w:tbl>
    <w:p w14:paraId="34E2CC4A">
      <w:pPr>
        <w:tabs>
          <w:tab w:val="left" w:pos="720"/>
        </w:tabs>
        <w:spacing w:line="360" w:lineRule="atLeast"/>
        <w:rPr>
          <w:rFonts w:hint="eastAsia" w:ascii="宋体" w:hAnsi="宋体"/>
          <w:color w:val="auto"/>
          <w:sz w:val="24"/>
        </w:rPr>
      </w:pPr>
      <w:r>
        <w:rPr>
          <w:rFonts w:hint="eastAsia" w:ascii="宋体" w:hAnsi="宋体"/>
          <w:color w:val="auto"/>
          <w:sz w:val="24"/>
        </w:rPr>
        <w:t>说明：投标水泵主要零部件材质不得低于上表中要求。</w:t>
      </w:r>
    </w:p>
    <w:p w14:paraId="7BC3FB2F">
      <w:pPr>
        <w:tabs>
          <w:tab w:val="left" w:pos="720"/>
        </w:tabs>
        <w:spacing w:line="360" w:lineRule="atLeast"/>
        <w:rPr>
          <w:rFonts w:hint="eastAsia" w:ascii="宋体" w:hAnsi="宋体"/>
          <w:color w:val="auto"/>
          <w:sz w:val="24"/>
        </w:rPr>
      </w:pPr>
    </w:p>
    <w:p w14:paraId="28884525">
      <w:pPr>
        <w:pStyle w:val="24"/>
        <w:tabs>
          <w:tab w:val="left" w:pos="840"/>
        </w:tabs>
        <w:rPr>
          <w:color w:val="auto"/>
        </w:rPr>
      </w:pPr>
      <w:bookmarkStart w:id="21" w:name="_Toc114494268"/>
      <w:bookmarkStart w:id="22" w:name="_Toc99791414"/>
      <w:bookmarkStart w:id="23" w:name="_Toc99788672"/>
      <w:r>
        <w:rPr>
          <w:rFonts w:hint="eastAsia"/>
          <w:color w:val="auto"/>
        </w:rPr>
        <w:t>电动机</w:t>
      </w:r>
      <w:r>
        <w:rPr>
          <w:color w:val="auto"/>
        </w:rPr>
        <w:t>要求</w:t>
      </w:r>
      <w:bookmarkEnd w:id="21"/>
      <w:bookmarkEnd w:id="22"/>
      <w:bookmarkEnd w:id="23"/>
    </w:p>
    <w:p w14:paraId="0ED154B7">
      <w:pPr>
        <w:spacing w:line="360" w:lineRule="auto"/>
        <w:ind w:firstLine="480" w:firstLineChars="200"/>
        <w:rPr>
          <w:color w:val="auto"/>
          <w:sz w:val="24"/>
        </w:rPr>
      </w:pPr>
      <w:r>
        <w:rPr>
          <w:color w:val="auto"/>
          <w:sz w:val="24"/>
        </w:rPr>
        <w:t>1、应对供电电源等级和电源电压、电流、频率要求作出说明；产品使用提供的电源交流</w:t>
      </w:r>
      <w:r>
        <w:rPr>
          <w:rFonts w:hint="eastAsia"/>
          <w:color w:val="auto"/>
          <w:sz w:val="24"/>
        </w:rPr>
        <w:t>3</w:t>
      </w:r>
      <w:r>
        <w:rPr>
          <w:color w:val="auto"/>
          <w:sz w:val="24"/>
        </w:rPr>
        <w:t>80V/3相/50Hz,。</w:t>
      </w:r>
    </w:p>
    <w:p w14:paraId="0FABB3C5">
      <w:pPr>
        <w:spacing w:line="360" w:lineRule="auto"/>
        <w:ind w:firstLine="480" w:firstLineChars="200"/>
        <w:rPr>
          <w:color w:val="auto"/>
          <w:sz w:val="24"/>
        </w:rPr>
      </w:pPr>
      <w:r>
        <w:rPr>
          <w:color w:val="auto"/>
          <w:sz w:val="24"/>
        </w:rPr>
        <w:t>2、电机应为TEFC全封闭形式，电机功率应保证水泵在其整个运行曲线范围内不会过载。</w:t>
      </w:r>
      <w:r>
        <w:rPr>
          <w:rFonts w:hint="eastAsia"/>
          <w:color w:val="auto"/>
          <w:sz w:val="24"/>
        </w:rPr>
        <w:t>电机应符合IEC标准以适应通用性，不接受定制电机。</w:t>
      </w:r>
    </w:p>
    <w:p w14:paraId="491C4463">
      <w:pPr>
        <w:spacing w:line="360" w:lineRule="auto"/>
        <w:ind w:firstLine="480" w:firstLineChars="200"/>
        <w:rPr>
          <w:color w:val="auto"/>
          <w:sz w:val="24"/>
        </w:rPr>
      </w:pPr>
      <w:r>
        <w:rPr>
          <w:color w:val="auto"/>
          <w:sz w:val="24"/>
        </w:rPr>
        <w:t>3、电机的防护等级应为IP55。电机的绝缘等级应为F级，电机绕组真空浸渍处理和环氧树脂密封。</w:t>
      </w:r>
    </w:p>
    <w:p w14:paraId="1373F22C">
      <w:pPr>
        <w:spacing w:line="360" w:lineRule="auto"/>
        <w:ind w:firstLine="480" w:firstLineChars="200"/>
        <w:rPr>
          <w:color w:val="auto"/>
          <w:sz w:val="24"/>
        </w:rPr>
      </w:pPr>
      <w:r>
        <w:rPr>
          <w:color w:val="auto"/>
          <w:sz w:val="24"/>
        </w:rPr>
        <w:t>4、电机的使用年限 在现场的工作条件下不少于15年；正常运行工况下应保证电机的大修周期不小于</w:t>
      </w:r>
      <w:r>
        <w:rPr>
          <w:rFonts w:hint="eastAsia"/>
          <w:color w:val="auto"/>
          <w:sz w:val="24"/>
        </w:rPr>
        <w:t>5</w:t>
      </w:r>
      <w:r>
        <w:rPr>
          <w:color w:val="auto"/>
          <w:sz w:val="24"/>
        </w:rPr>
        <w:t>年。</w:t>
      </w:r>
    </w:p>
    <w:p w14:paraId="30FBCFFA">
      <w:pPr>
        <w:spacing w:line="360" w:lineRule="auto"/>
        <w:rPr>
          <w:rFonts w:hint="eastAsia"/>
          <w:b/>
          <w:bCs/>
          <w:color w:val="auto"/>
          <w:sz w:val="28"/>
          <w:szCs w:val="28"/>
        </w:rPr>
      </w:pPr>
      <w:r>
        <w:rPr>
          <w:rFonts w:hint="eastAsia"/>
          <w:b/>
          <w:bCs/>
          <w:color w:val="auto"/>
          <w:sz w:val="28"/>
          <w:szCs w:val="28"/>
        </w:rPr>
        <w:t xml:space="preserve"> 5、 平衡阀技术</w:t>
      </w:r>
      <w:bookmarkStart w:id="24" w:name="_Hlk239076442"/>
      <w:r>
        <w:rPr>
          <w:rFonts w:hint="eastAsia"/>
          <w:b/>
          <w:bCs/>
          <w:color w:val="auto"/>
          <w:sz w:val="28"/>
          <w:szCs w:val="28"/>
        </w:rPr>
        <w:t>规范及设计、制造执行标准</w:t>
      </w:r>
      <w:bookmarkEnd w:id="24"/>
    </w:p>
    <w:p w14:paraId="476687DB">
      <w:pPr>
        <w:spacing w:line="360" w:lineRule="auto"/>
        <w:ind w:firstLine="480" w:firstLineChars="200"/>
        <w:rPr>
          <w:rFonts w:hint="eastAsia"/>
          <w:color w:val="auto"/>
          <w:sz w:val="24"/>
          <w:szCs w:val="24"/>
        </w:rPr>
      </w:pPr>
      <w:r>
        <w:rPr>
          <w:rFonts w:hint="eastAsia"/>
          <w:color w:val="auto"/>
          <w:sz w:val="24"/>
          <w:szCs w:val="24"/>
        </w:rPr>
        <w:t>本规范提出的是最低限度的技术要求，并未对一切技术细节作出规定，也未充分引述有关标准和规范的条款，投标人应保证提供符合本规范书和有关工业标准，并且功能完整、性能优良的优质产品及其相应服务。同时必须满足国家的有关安全、环保等强制性标准和规范的要求。型号及规范中如提到某特定厂家的型号和规范，则指与其性能、标准相当的同类货物。</w:t>
      </w:r>
    </w:p>
    <w:p w14:paraId="4376B4D3">
      <w:pPr>
        <w:spacing w:line="360" w:lineRule="auto"/>
        <w:ind w:firstLine="480" w:firstLineChars="200"/>
        <w:rPr>
          <w:rFonts w:hint="eastAsia"/>
          <w:color w:val="auto"/>
          <w:sz w:val="24"/>
          <w:szCs w:val="24"/>
        </w:rPr>
      </w:pPr>
      <w:r>
        <w:rPr>
          <w:rFonts w:hint="eastAsia"/>
          <w:color w:val="auto"/>
          <w:sz w:val="24"/>
          <w:szCs w:val="24"/>
        </w:rPr>
        <w:t>远传智能水力平衡阀安装在单元回水管上。</w:t>
      </w:r>
    </w:p>
    <w:p w14:paraId="3C03DB71">
      <w:pPr>
        <w:spacing w:line="360" w:lineRule="auto"/>
        <w:ind w:firstLine="480" w:firstLineChars="200"/>
        <w:rPr>
          <w:rFonts w:hint="eastAsia"/>
          <w:color w:val="auto"/>
          <w:sz w:val="24"/>
          <w:szCs w:val="24"/>
        </w:rPr>
      </w:pPr>
      <w:r>
        <w:rPr>
          <w:rFonts w:hint="eastAsia"/>
          <w:color w:val="auto"/>
          <w:sz w:val="24"/>
          <w:szCs w:val="24"/>
        </w:rPr>
        <w:t>以热力站为单位对所属范围内小区二次网各分区进行单独控制，调节单元立管远传智能水力平衡阀开度,使单元回水温度平均一致,解决水力失衡问题。</w:t>
      </w:r>
    </w:p>
    <w:p w14:paraId="7B066141">
      <w:pPr>
        <w:spacing w:line="360" w:lineRule="auto"/>
        <w:ind w:firstLine="480" w:firstLineChars="200"/>
        <w:rPr>
          <w:rFonts w:hint="eastAsia"/>
          <w:color w:val="auto"/>
          <w:sz w:val="24"/>
          <w:szCs w:val="24"/>
        </w:rPr>
      </w:pPr>
      <w:r>
        <w:rPr>
          <w:rFonts w:hint="eastAsia"/>
          <w:color w:val="auto"/>
          <w:sz w:val="24"/>
          <w:szCs w:val="24"/>
        </w:rPr>
        <w:t>远传智能水力平衡阀通过 M-BUS 现场总线传输数据经楼栋数据采集器，至二次网调度系统服务器。</w:t>
      </w:r>
    </w:p>
    <w:p w14:paraId="3ECDE756">
      <w:pPr>
        <w:spacing w:line="360" w:lineRule="auto"/>
        <w:rPr>
          <w:rFonts w:hint="eastAsia"/>
          <w:color w:val="auto"/>
          <w:sz w:val="24"/>
          <w:szCs w:val="24"/>
        </w:rPr>
      </w:pPr>
      <w:r>
        <w:rPr>
          <w:rFonts w:hint="eastAsia"/>
          <w:color w:val="auto"/>
          <w:sz w:val="24"/>
          <w:szCs w:val="24"/>
        </w:rPr>
        <w:t>系统结构如下：</w:t>
      </w:r>
    </w:p>
    <w:p w14:paraId="172E5F02">
      <w:pPr>
        <w:spacing w:line="360" w:lineRule="auto"/>
        <w:rPr>
          <w:color w:val="auto"/>
          <w:sz w:val="24"/>
          <w:szCs w:val="24"/>
        </w:rPr>
      </w:pPr>
      <w:r>
        <w:rPr>
          <w:color w:val="auto"/>
          <w:sz w:val="24"/>
          <w:szCs w:val="24"/>
        </w:rPr>
        <w:t xml:space="preserve"> </w:t>
      </w:r>
      <w:r>
        <w:rPr>
          <w:rFonts w:hint="eastAsia"/>
          <w:color w:val="auto"/>
          <w:sz w:val="24"/>
          <w:szCs w:val="24"/>
        </w:rPr>
        <w:t xml:space="preserve">  水力平衡阀需具备温度采集、远程控制功能的水力平衡阀，用户可通过全网平衡软件，远程统一设定楼栋回水目标温度，以解决二次网水平失调问题，达到全网水力平衡的目的。</w:t>
      </w:r>
    </w:p>
    <w:p w14:paraId="68FF7E68">
      <w:pPr>
        <w:spacing w:line="360" w:lineRule="auto"/>
        <w:ind w:firstLine="480" w:firstLineChars="200"/>
        <w:rPr>
          <w:rFonts w:hint="eastAsia"/>
          <w:color w:val="auto"/>
          <w:sz w:val="24"/>
          <w:szCs w:val="24"/>
        </w:rPr>
      </w:pPr>
      <w:r>
        <w:rPr>
          <w:rFonts w:hint="eastAsia"/>
          <w:color w:val="auto"/>
          <w:sz w:val="24"/>
          <w:szCs w:val="24"/>
        </w:rPr>
        <w:t>具体设备参数要求如下:</w:t>
      </w:r>
    </w:p>
    <w:p w14:paraId="2CA13BD7">
      <w:pPr>
        <w:spacing w:line="360" w:lineRule="auto"/>
        <w:rPr>
          <w:rFonts w:hint="eastAsia"/>
          <w:color w:val="auto"/>
          <w:sz w:val="24"/>
          <w:szCs w:val="24"/>
        </w:rPr>
      </w:pPr>
      <w:r>
        <w:rPr>
          <w:rFonts w:hint="eastAsia"/>
          <w:color w:val="auto"/>
          <w:sz w:val="24"/>
          <w:szCs w:val="24"/>
        </w:rPr>
        <w:t>远传智能水力平衡阀：执行器&amp;阀体</w:t>
      </w:r>
    </w:p>
    <w:p w14:paraId="40817BB3">
      <w:pPr>
        <w:spacing w:line="360" w:lineRule="auto"/>
        <w:rPr>
          <w:rFonts w:hint="eastAsia"/>
          <w:color w:val="auto"/>
          <w:sz w:val="24"/>
          <w:szCs w:val="24"/>
        </w:rPr>
      </w:pPr>
      <w:r>
        <w:rPr>
          <w:rFonts w:hint="eastAsia"/>
          <w:color w:val="auto"/>
          <w:sz w:val="24"/>
          <w:szCs w:val="24"/>
        </w:rPr>
        <w:t>类型：角行程调节阀（阀体不得采用蝶阀）、执行器与阀体可拆卸（非专业工作人员无专业工具无法拆卸）；</w:t>
      </w:r>
    </w:p>
    <w:p w14:paraId="5F028089">
      <w:pPr>
        <w:spacing w:line="360" w:lineRule="auto"/>
        <w:rPr>
          <w:rFonts w:hint="eastAsia"/>
          <w:color w:val="auto"/>
          <w:sz w:val="24"/>
          <w:szCs w:val="24"/>
        </w:rPr>
      </w:pPr>
      <w:r>
        <w:rPr>
          <w:color w:val="auto"/>
          <w:sz w:val="24"/>
          <w:szCs w:val="24"/>
        </w:rPr>
        <w:t xml:space="preserve"> </w:t>
      </w:r>
      <w:r>
        <w:rPr>
          <w:rFonts w:hint="eastAsia"/>
          <w:color w:val="auto"/>
          <w:sz w:val="24"/>
          <w:szCs w:val="24"/>
        </w:rPr>
        <w:t>技术参数：</w:t>
      </w:r>
    </w:p>
    <w:p w14:paraId="7E09E221">
      <w:pPr>
        <w:spacing w:line="360" w:lineRule="auto"/>
        <w:ind w:firstLine="480" w:firstLineChars="200"/>
        <w:rPr>
          <w:rFonts w:hint="eastAsia"/>
          <w:color w:val="auto"/>
          <w:sz w:val="24"/>
          <w:szCs w:val="24"/>
        </w:rPr>
      </w:pPr>
      <w:r>
        <w:rPr>
          <w:rFonts w:hint="eastAsia"/>
          <w:color w:val="auto"/>
          <w:sz w:val="24"/>
          <w:szCs w:val="24"/>
        </w:rPr>
        <w:t>测温范围：1-95℃   防护等级：不低于IP65，投标时须报出每种规格的防护等级；</w:t>
      </w:r>
    </w:p>
    <w:p w14:paraId="5C350E70">
      <w:pPr>
        <w:spacing w:line="360" w:lineRule="auto"/>
        <w:ind w:firstLine="480" w:firstLineChars="200"/>
        <w:rPr>
          <w:rFonts w:hint="eastAsia"/>
          <w:color w:val="auto"/>
          <w:sz w:val="24"/>
          <w:szCs w:val="24"/>
        </w:rPr>
      </w:pPr>
      <w:r>
        <w:rPr>
          <w:rFonts w:hint="eastAsia"/>
          <w:color w:val="auto"/>
          <w:sz w:val="24"/>
          <w:szCs w:val="24"/>
        </w:rPr>
        <w:t>承压：1.0MPa/1.6MPa （详见招标清单）        规格：DN20~DN150</w:t>
      </w:r>
    </w:p>
    <w:p w14:paraId="7A77C1AA">
      <w:pPr>
        <w:spacing w:line="360" w:lineRule="auto"/>
        <w:ind w:firstLine="480" w:firstLineChars="200"/>
        <w:rPr>
          <w:rFonts w:hint="eastAsia"/>
          <w:color w:val="auto"/>
          <w:sz w:val="24"/>
          <w:szCs w:val="24"/>
        </w:rPr>
      </w:pPr>
      <w:r>
        <w:rPr>
          <w:rFonts w:hint="eastAsia"/>
          <w:color w:val="auto"/>
          <w:sz w:val="24"/>
          <w:szCs w:val="24"/>
        </w:rPr>
        <w:t>阀体：DN32及以下阀体为球墨铸铁或黄铜（投标时须注明黄铜具体牌号）；DN40及以上阀体为球墨铸铁；投标时须注明每种规格型号阀体的重量（不含执行器）；</w:t>
      </w:r>
    </w:p>
    <w:p w14:paraId="5F4D94EF">
      <w:pPr>
        <w:spacing w:line="360" w:lineRule="auto"/>
        <w:ind w:firstLine="480" w:firstLineChars="200"/>
        <w:rPr>
          <w:rFonts w:hint="eastAsia"/>
          <w:color w:val="auto"/>
          <w:sz w:val="24"/>
          <w:szCs w:val="24"/>
        </w:rPr>
      </w:pPr>
      <w:r>
        <w:rPr>
          <w:rFonts w:hint="eastAsia"/>
          <w:color w:val="auto"/>
          <w:sz w:val="24"/>
          <w:szCs w:val="24"/>
        </w:rPr>
        <w:t>阀芯：陶瓷阀芯或304不锈钢球阀芯；投标时须注明每种规格型号陶瓷阀芯的厚度或每种规格型号304不锈钢球阀芯是实心球还是空心球，若是空心球注明球体壁厚，并提供球体结构图；</w:t>
      </w:r>
    </w:p>
    <w:p w14:paraId="3E579088">
      <w:pPr>
        <w:spacing w:line="360" w:lineRule="auto"/>
        <w:ind w:firstLine="480" w:firstLineChars="200"/>
        <w:rPr>
          <w:rFonts w:hint="eastAsia"/>
          <w:color w:val="auto"/>
          <w:sz w:val="24"/>
          <w:szCs w:val="24"/>
        </w:rPr>
      </w:pPr>
      <w:r>
        <w:rPr>
          <w:rFonts w:hint="eastAsia"/>
          <w:color w:val="auto"/>
          <w:sz w:val="24"/>
          <w:szCs w:val="24"/>
        </w:rPr>
        <w:t>阀芯和阀座之间采用硬密封或软密封结构形式；</w:t>
      </w:r>
    </w:p>
    <w:p w14:paraId="405086FA">
      <w:pPr>
        <w:spacing w:line="360" w:lineRule="auto"/>
        <w:rPr>
          <w:rFonts w:hint="eastAsia"/>
          <w:color w:val="auto"/>
          <w:sz w:val="24"/>
          <w:szCs w:val="24"/>
        </w:rPr>
      </w:pPr>
      <w:r>
        <w:rPr>
          <w:rFonts w:hint="eastAsia"/>
          <w:color w:val="auto"/>
          <w:sz w:val="24"/>
          <w:szCs w:val="24"/>
        </w:rPr>
        <w:t>软密封阀杆材料材质为 304 不锈钢，阀门密封圈材料为 PTFE，阀杆处密封材料为FPM，投标时请注明选用的材质；</w:t>
      </w:r>
    </w:p>
    <w:p w14:paraId="6C56E8EE">
      <w:pPr>
        <w:spacing w:line="360" w:lineRule="auto"/>
        <w:ind w:firstLine="480" w:firstLineChars="200"/>
        <w:rPr>
          <w:rFonts w:hint="eastAsia"/>
          <w:color w:val="auto"/>
          <w:sz w:val="24"/>
          <w:szCs w:val="24"/>
        </w:rPr>
      </w:pPr>
      <w:r>
        <w:rPr>
          <w:rFonts w:hint="eastAsia"/>
          <w:color w:val="auto"/>
          <w:sz w:val="24"/>
          <w:szCs w:val="24"/>
        </w:rPr>
        <w:t>执行器外壳：金属材质或高强度耐冲击工程塑料；投标时须注明选用的材质和厚度；</w:t>
      </w:r>
    </w:p>
    <w:p w14:paraId="5D32D092">
      <w:pPr>
        <w:spacing w:line="360" w:lineRule="auto"/>
        <w:rPr>
          <w:rFonts w:hint="eastAsia"/>
          <w:color w:val="auto"/>
          <w:sz w:val="24"/>
          <w:szCs w:val="24"/>
        </w:rPr>
      </w:pPr>
      <w:r>
        <w:rPr>
          <w:rFonts w:hint="eastAsia"/>
          <w:color w:val="auto"/>
          <w:sz w:val="24"/>
          <w:szCs w:val="24"/>
        </w:rPr>
        <w:t>可在自动或手动模式工作，非专业工作人员无专业工具无法随意手操作阀门开度；</w:t>
      </w:r>
    </w:p>
    <w:p w14:paraId="01785047">
      <w:pPr>
        <w:spacing w:line="360" w:lineRule="auto"/>
        <w:rPr>
          <w:rFonts w:hint="eastAsia"/>
          <w:color w:val="auto"/>
          <w:sz w:val="24"/>
          <w:szCs w:val="24"/>
        </w:rPr>
      </w:pPr>
      <w:r>
        <w:rPr>
          <w:rFonts w:hint="eastAsia"/>
          <w:color w:val="auto"/>
          <w:sz w:val="24"/>
          <w:szCs w:val="24"/>
        </w:rPr>
        <w:t>★执行器尺寸:应偏小且满足甲方需求，投标时须注明每种规格型号执行器的尺寸及远传智能水力平衡阀整体尺寸；</w:t>
      </w:r>
    </w:p>
    <w:p w14:paraId="7FAC6218">
      <w:pPr>
        <w:spacing w:line="360" w:lineRule="auto"/>
        <w:rPr>
          <w:rFonts w:hint="eastAsia"/>
          <w:color w:val="auto"/>
          <w:sz w:val="24"/>
          <w:szCs w:val="24"/>
        </w:rPr>
      </w:pPr>
      <w:r>
        <w:rPr>
          <w:rFonts w:hint="eastAsia"/>
          <w:color w:val="auto"/>
          <w:sz w:val="24"/>
          <w:szCs w:val="24"/>
        </w:rPr>
        <w:t>连接方式：DN32及以下为螺纹或法兰连接、DN40及以上为法兰连接，法兰执行GB/T9113标准；</w:t>
      </w:r>
    </w:p>
    <w:p w14:paraId="133C3CAA">
      <w:pPr>
        <w:spacing w:line="360" w:lineRule="auto"/>
        <w:ind w:firstLine="480" w:firstLineChars="200"/>
        <w:rPr>
          <w:rFonts w:hint="eastAsia"/>
          <w:color w:val="auto"/>
          <w:sz w:val="24"/>
          <w:szCs w:val="24"/>
        </w:rPr>
      </w:pPr>
      <w:r>
        <w:rPr>
          <w:rFonts w:hint="eastAsia"/>
          <w:color w:val="auto"/>
          <w:sz w:val="24"/>
          <w:szCs w:val="24"/>
        </w:rPr>
        <w:t>额定流量下阀门阻力损失小于0.003 MPa ；</w:t>
      </w:r>
    </w:p>
    <w:p w14:paraId="08F01436">
      <w:pPr>
        <w:spacing w:line="360" w:lineRule="auto"/>
        <w:ind w:firstLine="480" w:firstLineChars="200"/>
        <w:rPr>
          <w:rFonts w:hint="eastAsia"/>
          <w:color w:val="auto"/>
          <w:sz w:val="24"/>
          <w:szCs w:val="24"/>
        </w:rPr>
      </w:pPr>
      <w:r>
        <w:rPr>
          <w:rFonts w:hint="eastAsia"/>
          <w:color w:val="auto"/>
          <w:sz w:val="24"/>
          <w:szCs w:val="24"/>
        </w:rPr>
        <w:t>热电阻：PT1000，采集精度≤0.5℃,采集单元立管回水温度，并自动跟踪温度的变化，以便实现全网系统全自动平衡控制；</w:t>
      </w:r>
    </w:p>
    <w:p w14:paraId="7D4415E8">
      <w:pPr>
        <w:spacing w:line="360" w:lineRule="auto"/>
        <w:ind w:firstLine="480" w:firstLineChars="200"/>
        <w:rPr>
          <w:rFonts w:hint="eastAsia"/>
          <w:color w:val="auto"/>
          <w:sz w:val="24"/>
          <w:szCs w:val="24"/>
        </w:rPr>
      </w:pPr>
      <w:r>
        <w:rPr>
          <w:rFonts w:hint="eastAsia"/>
          <w:color w:val="auto"/>
          <w:sz w:val="24"/>
          <w:szCs w:val="24"/>
        </w:rPr>
        <w:t>热电阻与被测介质隔离，且带有防护套管，便于带压拆卸；</w:t>
      </w:r>
    </w:p>
    <w:p w14:paraId="3809719F">
      <w:pPr>
        <w:spacing w:line="360" w:lineRule="auto"/>
        <w:ind w:firstLine="480" w:firstLineChars="200"/>
        <w:rPr>
          <w:rFonts w:hint="eastAsia"/>
          <w:color w:val="auto"/>
          <w:sz w:val="24"/>
          <w:szCs w:val="24"/>
        </w:rPr>
      </w:pPr>
      <w:r>
        <w:rPr>
          <w:rFonts w:hint="eastAsia"/>
          <w:color w:val="auto"/>
          <w:sz w:val="24"/>
          <w:szCs w:val="24"/>
        </w:rPr>
        <w:t>阀门热电阻信号线至执行器接线盒须有金属防护套管；</w:t>
      </w:r>
    </w:p>
    <w:p w14:paraId="5D58C2D7">
      <w:pPr>
        <w:spacing w:line="360" w:lineRule="auto"/>
        <w:ind w:firstLine="480" w:firstLineChars="200"/>
        <w:rPr>
          <w:rFonts w:hint="eastAsia"/>
          <w:color w:val="auto"/>
          <w:sz w:val="24"/>
          <w:szCs w:val="24"/>
        </w:rPr>
      </w:pPr>
      <w:r>
        <w:rPr>
          <w:rFonts w:hint="eastAsia"/>
          <w:color w:val="auto"/>
          <w:sz w:val="24"/>
          <w:szCs w:val="24"/>
        </w:rPr>
        <w:t>流量特性：等百分比</w:t>
      </w:r>
    </w:p>
    <w:p w14:paraId="3137A964">
      <w:pPr>
        <w:spacing w:line="360" w:lineRule="auto"/>
        <w:ind w:firstLine="480" w:firstLineChars="200"/>
        <w:rPr>
          <w:rFonts w:hint="eastAsia"/>
          <w:color w:val="auto"/>
          <w:sz w:val="24"/>
          <w:szCs w:val="24"/>
        </w:rPr>
      </w:pPr>
      <w:r>
        <w:rPr>
          <w:rFonts w:hint="eastAsia"/>
          <w:color w:val="auto"/>
          <w:sz w:val="24"/>
          <w:szCs w:val="24"/>
        </w:rPr>
        <w:t>阀门可调比：＞100</w:t>
      </w:r>
    </w:p>
    <w:p w14:paraId="3F6A41C3">
      <w:pPr>
        <w:spacing w:line="360" w:lineRule="auto"/>
        <w:ind w:firstLine="480" w:firstLineChars="200"/>
        <w:rPr>
          <w:rFonts w:hint="eastAsia"/>
          <w:color w:val="auto"/>
          <w:sz w:val="24"/>
          <w:szCs w:val="24"/>
        </w:rPr>
      </w:pPr>
      <w:r>
        <w:rPr>
          <w:rFonts w:hint="eastAsia"/>
          <w:color w:val="auto"/>
          <w:sz w:val="24"/>
          <w:szCs w:val="24"/>
        </w:rPr>
        <w:t>工作电压：24V DC ，</w:t>
      </w:r>
    </w:p>
    <w:p w14:paraId="6A69A6E9">
      <w:pPr>
        <w:spacing w:line="360" w:lineRule="auto"/>
        <w:ind w:firstLine="480" w:firstLineChars="200"/>
        <w:rPr>
          <w:rFonts w:hint="eastAsia"/>
          <w:color w:val="auto"/>
          <w:sz w:val="24"/>
          <w:szCs w:val="24"/>
        </w:rPr>
      </w:pPr>
      <w:r>
        <w:rPr>
          <w:rFonts w:hint="eastAsia"/>
          <w:color w:val="auto"/>
          <w:sz w:val="24"/>
          <w:szCs w:val="24"/>
        </w:rPr>
        <w:t>环境温度：-25~55℃</w:t>
      </w:r>
    </w:p>
    <w:p w14:paraId="72352703">
      <w:pPr>
        <w:spacing w:line="360" w:lineRule="auto"/>
        <w:ind w:firstLine="480" w:firstLineChars="200"/>
        <w:rPr>
          <w:rFonts w:hint="eastAsia"/>
          <w:color w:val="auto"/>
          <w:sz w:val="24"/>
          <w:szCs w:val="24"/>
        </w:rPr>
      </w:pPr>
      <w:r>
        <w:rPr>
          <w:rFonts w:hint="eastAsia"/>
          <w:color w:val="auto"/>
          <w:sz w:val="24"/>
          <w:szCs w:val="24"/>
        </w:rPr>
        <w:t>控制及反馈信号：阀门通过M-BUS通讯传输信号至控制器；</w:t>
      </w:r>
    </w:p>
    <w:p w14:paraId="7C268D48">
      <w:pPr>
        <w:spacing w:line="360" w:lineRule="auto"/>
        <w:rPr>
          <w:rFonts w:hint="eastAsia"/>
          <w:color w:val="auto"/>
          <w:sz w:val="24"/>
          <w:szCs w:val="24"/>
        </w:rPr>
      </w:pPr>
      <w:r>
        <w:rPr>
          <w:rFonts w:hint="eastAsia"/>
          <w:color w:val="auto"/>
          <w:sz w:val="24"/>
          <w:szCs w:val="24"/>
        </w:rPr>
        <w:t>★投标时须附阀门整体结构图及开度-流量特性曲线图；</w:t>
      </w:r>
    </w:p>
    <w:p w14:paraId="6E06F246">
      <w:pPr>
        <w:spacing w:line="360" w:lineRule="auto"/>
        <w:ind w:firstLine="480" w:firstLineChars="200"/>
        <w:rPr>
          <w:rFonts w:hint="eastAsia"/>
          <w:color w:val="auto"/>
          <w:sz w:val="24"/>
          <w:szCs w:val="24"/>
        </w:rPr>
      </w:pPr>
      <w:r>
        <w:rPr>
          <w:rFonts w:hint="eastAsia"/>
          <w:color w:val="auto"/>
          <w:sz w:val="24"/>
          <w:szCs w:val="24"/>
        </w:rPr>
        <w:t>执行器需具备CE标准认证标示，电子控制电路需低功耗，投标时注明每种口径的执行器额定功率，使用寿命大于20年；</w:t>
      </w:r>
    </w:p>
    <w:p w14:paraId="1B894FA8">
      <w:pPr>
        <w:spacing w:line="360" w:lineRule="auto"/>
        <w:ind w:firstLine="480" w:firstLineChars="200"/>
        <w:rPr>
          <w:rFonts w:hint="eastAsia"/>
          <w:color w:val="auto"/>
          <w:sz w:val="24"/>
          <w:szCs w:val="24"/>
        </w:rPr>
      </w:pPr>
      <w:r>
        <w:rPr>
          <w:rFonts w:hint="eastAsia"/>
          <w:color w:val="auto"/>
          <w:sz w:val="24"/>
          <w:szCs w:val="24"/>
        </w:rPr>
        <w:t>阀体与阀芯采用精密加工，回转扭矩值低，投标时需注明每种口径全压差时最大扭矩值；</w:t>
      </w:r>
    </w:p>
    <w:p w14:paraId="7DC1ACFB">
      <w:pPr>
        <w:spacing w:line="360" w:lineRule="auto"/>
        <w:ind w:firstLine="480" w:firstLineChars="200"/>
        <w:rPr>
          <w:rFonts w:hint="eastAsia"/>
          <w:color w:val="auto"/>
          <w:sz w:val="24"/>
          <w:szCs w:val="24"/>
        </w:rPr>
      </w:pPr>
      <w:r>
        <w:rPr>
          <w:rFonts w:hint="eastAsia"/>
          <w:color w:val="auto"/>
          <w:sz w:val="24"/>
          <w:szCs w:val="24"/>
        </w:rPr>
        <w:t>执行控制精度不低于0.5%；</w:t>
      </w:r>
    </w:p>
    <w:p w14:paraId="0A1607EE">
      <w:pPr>
        <w:spacing w:line="360" w:lineRule="auto"/>
        <w:ind w:firstLine="480" w:firstLineChars="200"/>
        <w:rPr>
          <w:rFonts w:hint="eastAsia"/>
          <w:color w:val="auto"/>
          <w:sz w:val="24"/>
          <w:szCs w:val="24"/>
        </w:rPr>
      </w:pPr>
      <w:r>
        <w:rPr>
          <w:rFonts w:hint="eastAsia"/>
          <w:color w:val="auto"/>
          <w:sz w:val="24"/>
          <w:szCs w:val="24"/>
        </w:rPr>
        <w:t>阀门通过现场总线传输信号至楼栋采集器，并由采集器提供供电电源；</w:t>
      </w:r>
    </w:p>
    <w:p w14:paraId="0A3AFAEC">
      <w:pPr>
        <w:spacing w:line="360" w:lineRule="auto"/>
        <w:ind w:firstLine="480" w:firstLineChars="200"/>
        <w:rPr>
          <w:rFonts w:hint="eastAsia"/>
          <w:color w:val="auto"/>
          <w:sz w:val="24"/>
          <w:szCs w:val="24"/>
        </w:rPr>
      </w:pPr>
      <w:r>
        <w:rPr>
          <w:rFonts w:hint="eastAsia"/>
          <w:color w:val="auto"/>
          <w:sz w:val="24"/>
          <w:szCs w:val="24"/>
        </w:rPr>
        <w:t>阀门需具有定时自动开关功能，防止阀门结垢卡涩；</w:t>
      </w:r>
    </w:p>
    <w:p w14:paraId="13B8F1D3">
      <w:pPr>
        <w:spacing w:line="360" w:lineRule="auto"/>
        <w:ind w:firstLine="480" w:firstLineChars="200"/>
        <w:rPr>
          <w:rFonts w:hint="eastAsia"/>
          <w:color w:val="auto"/>
          <w:sz w:val="24"/>
          <w:szCs w:val="24"/>
        </w:rPr>
      </w:pPr>
      <w:r>
        <w:rPr>
          <w:rFonts w:hint="eastAsia"/>
          <w:color w:val="auto"/>
          <w:sz w:val="24"/>
          <w:szCs w:val="24"/>
        </w:rPr>
        <w:t>阀门具有行程自检功能；</w:t>
      </w:r>
    </w:p>
    <w:p w14:paraId="3921E712">
      <w:pPr>
        <w:spacing w:line="360" w:lineRule="auto"/>
        <w:rPr>
          <w:rFonts w:hint="eastAsia"/>
          <w:color w:val="auto"/>
          <w:sz w:val="24"/>
          <w:szCs w:val="24"/>
        </w:rPr>
      </w:pPr>
      <w:r>
        <w:rPr>
          <w:rFonts w:hint="eastAsia"/>
          <w:color w:val="auto"/>
          <w:sz w:val="24"/>
          <w:szCs w:val="24"/>
        </w:rPr>
        <w:t>★阀门需保障使用10万次以上，使用寿命20年以上；</w:t>
      </w:r>
    </w:p>
    <w:p w14:paraId="64AA78F3">
      <w:pPr>
        <w:spacing w:line="360" w:lineRule="auto"/>
        <w:ind w:firstLine="480" w:firstLineChars="200"/>
        <w:rPr>
          <w:rFonts w:hint="eastAsia"/>
          <w:color w:val="auto"/>
          <w:sz w:val="24"/>
          <w:szCs w:val="24"/>
        </w:rPr>
      </w:pPr>
      <w:r>
        <w:rPr>
          <w:rFonts w:hint="eastAsia"/>
          <w:color w:val="auto"/>
          <w:sz w:val="24"/>
          <w:szCs w:val="24"/>
        </w:rPr>
        <w:t>信号线发生断裂或者阀门断电需监控中心发出报警，且阀门保持原位；</w:t>
      </w:r>
    </w:p>
    <w:p w14:paraId="7AEEF331">
      <w:pPr>
        <w:spacing w:line="360" w:lineRule="auto"/>
        <w:rPr>
          <w:rFonts w:hint="eastAsia"/>
          <w:color w:val="auto"/>
          <w:sz w:val="24"/>
          <w:szCs w:val="24"/>
        </w:rPr>
      </w:pPr>
      <w:r>
        <w:rPr>
          <w:rFonts w:hint="eastAsia"/>
          <w:color w:val="auto"/>
          <w:sz w:val="24"/>
          <w:szCs w:val="24"/>
        </w:rPr>
        <w:t>执行器、阀体应分别列出品牌、产地。</w:t>
      </w:r>
    </w:p>
    <w:p w14:paraId="3BF494BD">
      <w:pPr>
        <w:spacing w:line="360" w:lineRule="auto"/>
        <w:ind w:firstLine="480" w:firstLineChars="200"/>
        <w:rPr>
          <w:rFonts w:hint="eastAsia"/>
          <w:color w:val="auto"/>
          <w:sz w:val="24"/>
          <w:szCs w:val="24"/>
        </w:rPr>
      </w:pPr>
      <w:r>
        <w:rPr>
          <w:rFonts w:hint="eastAsia"/>
          <w:color w:val="auto"/>
          <w:sz w:val="24"/>
          <w:szCs w:val="24"/>
        </w:rPr>
        <w:t>开标现场需携带所投产品远传智能水力平衡阀PN 1.0MPa  DN32和DN65各一台和远传智能</w:t>
      </w:r>
    </w:p>
    <w:p w14:paraId="255F3662">
      <w:pPr>
        <w:spacing w:line="360" w:lineRule="auto"/>
        <w:rPr>
          <w:rFonts w:hint="eastAsia"/>
          <w:color w:val="auto"/>
          <w:sz w:val="24"/>
          <w:szCs w:val="24"/>
        </w:rPr>
      </w:pPr>
      <w:r>
        <w:rPr>
          <w:color w:val="auto"/>
          <w:sz w:val="24"/>
          <w:szCs w:val="24"/>
        </w:rPr>
        <w:t xml:space="preserve"> </w:t>
      </w:r>
      <w:r>
        <w:rPr>
          <w:rFonts w:hint="eastAsia"/>
          <w:color w:val="auto"/>
          <w:sz w:val="24"/>
          <w:szCs w:val="24"/>
        </w:rPr>
        <w:t xml:space="preserve">   水力平衡阀阀体（不含执行器）PN 1.0MPa  DN32和DN65各一台，以便专家评审使用。</w:t>
      </w:r>
    </w:p>
    <w:p w14:paraId="50B6069F">
      <w:pPr>
        <w:spacing w:line="360" w:lineRule="auto"/>
        <w:ind w:firstLine="480" w:firstLineChars="200"/>
        <w:rPr>
          <w:rFonts w:hint="eastAsia"/>
          <w:color w:val="auto"/>
          <w:sz w:val="24"/>
          <w:szCs w:val="24"/>
        </w:rPr>
      </w:pPr>
      <w:r>
        <w:rPr>
          <w:rFonts w:hint="eastAsia"/>
          <w:color w:val="auto"/>
          <w:sz w:val="24"/>
          <w:szCs w:val="24"/>
        </w:rPr>
        <w:t>每批次订单到货将随机抽查：到山西省或国内有关检测单位进行阀门材质（含球体）、耐压、泄漏及执行器绝缘强度、额定行程偏差、绝缘电阻等指标的检测。满足招标文件规定值与投标文件承诺值，视为检测合格，费用由招标单位承担；不满足招标文件规定值与投标文件承诺值，视为检测不合格，费用由中标单位承担，退回本批次订单订货，新到货加倍抽检，加倍检测费用无论结果合格与否均由中标单位承担；加倍抽检仍不合格，解除合同；对于已安装的产品，若发现属于不合格产品，中标单位必须承担由此造成的安装返工等发生的所有损失费用。</w:t>
      </w:r>
    </w:p>
    <w:p w14:paraId="7228E45D">
      <w:pPr>
        <w:spacing w:line="360" w:lineRule="auto"/>
        <w:rPr>
          <w:rFonts w:hint="eastAsia"/>
          <w:color w:val="auto"/>
          <w:sz w:val="24"/>
          <w:szCs w:val="24"/>
        </w:rPr>
      </w:pPr>
      <w:r>
        <w:rPr>
          <w:rFonts w:hint="eastAsia"/>
          <w:color w:val="auto"/>
          <w:sz w:val="24"/>
          <w:szCs w:val="24"/>
        </w:rPr>
        <w:t>注：</w:t>
      </w:r>
    </w:p>
    <w:p w14:paraId="3B6949B3">
      <w:pPr>
        <w:spacing w:line="360" w:lineRule="auto"/>
        <w:rPr>
          <w:color w:val="auto"/>
          <w:sz w:val="24"/>
          <w:szCs w:val="24"/>
        </w:rPr>
      </w:pPr>
      <w:r>
        <w:rPr>
          <w:rFonts w:hint="eastAsia"/>
          <w:color w:val="auto"/>
          <w:sz w:val="24"/>
          <w:szCs w:val="24"/>
        </w:rPr>
        <w:t>1、本次招标只接受所供货物品牌工商注册地工厂产品，即品牌原产地工厂生产。不接受品牌工商注册地以外的分厂以及任何形式的 OEM 代加工工厂、或委托加工生产的产品。</w:t>
      </w:r>
    </w:p>
    <w:p w14:paraId="513D2C79">
      <w:pPr>
        <w:spacing w:line="360" w:lineRule="auto"/>
        <w:rPr>
          <w:color w:val="auto"/>
        </w:rPr>
      </w:pPr>
    </w:p>
    <w:p w14:paraId="50C164E9">
      <w:pPr>
        <w:spacing w:line="360" w:lineRule="auto"/>
        <w:rPr>
          <w:rFonts w:asciiTheme="minorEastAsia" w:hAnsiTheme="minorEastAsia"/>
          <w:b/>
          <w:bCs/>
          <w:color w:val="auto"/>
          <w:sz w:val="30"/>
          <w:szCs w:val="30"/>
        </w:rPr>
      </w:pPr>
      <w:r>
        <w:rPr>
          <w:rFonts w:hint="eastAsia" w:asciiTheme="minorEastAsia" w:hAnsiTheme="minorEastAsia"/>
          <w:b/>
          <w:bCs/>
          <w:color w:val="auto"/>
          <w:sz w:val="30"/>
          <w:szCs w:val="30"/>
        </w:rPr>
        <w:t>6、电气自动化技术要求规范及设计、制造执行标准</w:t>
      </w:r>
    </w:p>
    <w:p w14:paraId="2268C14E">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6.1 PLC自控柜技术要求</w:t>
      </w:r>
    </w:p>
    <w:p w14:paraId="27CC8E4D">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6.1.1柜体结构</w:t>
      </w:r>
    </w:p>
    <w:p w14:paraId="6D7BE5F4">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落地仿威图柜体；钢板厚度≥1.5mm板；喷塑；防护等级IP41；带柜门锁、柜内照明、散热风扇及防尘滤网；柜内敷设线槽，所有线缆两端永久号码管标识；柜体底部预留电缆进出孔。</w:t>
      </w:r>
    </w:p>
    <w:p w14:paraId="4531B481">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参考柜体尺寸：800(W)×2200(H)×600(D)，可根据IO点数调整尺寸。</w:t>
      </w:r>
    </w:p>
    <w:p w14:paraId="1EE6A43D">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6.1.2核心硬件配置</w:t>
      </w:r>
    </w:p>
    <w:p w14:paraId="113776CE">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1）PLC控制器： CPU+DI/DO/AI/AO全部同原厂模块；配置Profinet、Modbus RTU通讯接口；支持对接变频柜、温度压力液位仪表、热计量表；支持远传至上位供热调度平台。</w:t>
      </w:r>
    </w:p>
    <w:p w14:paraId="17D56A9F">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2）人机触摸屏：10寸彩色触摸屏，同PLC兼容；中文界面；可显示一次供回温、二次供回温、一次阀开度、二次网压力、泵运行状态、故障报警；支持参数就地修改。</w:t>
      </w:r>
    </w:p>
    <w:p w14:paraId="7168088F">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3）电源：DC24V开关电源。</w:t>
      </w:r>
    </w:p>
    <w:p w14:paraId="3F1D5BFF">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4）信号隔离：所有模拟量AI/AO配置信号隔离器，防止现场干扰。</w:t>
      </w:r>
    </w:p>
    <w:p w14:paraId="645F1DD3">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5）柜内低压元件：空气开关、继电器、保险正品。</w:t>
      </w:r>
    </w:p>
    <w:p w14:paraId="30081FD7">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6.1.3自控逻辑功能要求（必须全部实现）</w:t>
      </w:r>
    </w:p>
    <w:p w14:paraId="42BA3C12">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1）一次网侧：一次电动调节阀PID调节，依据二次供水温度自动调节阀门开度；阀位反馈采集。</w:t>
      </w:r>
    </w:p>
    <w:p w14:paraId="7D9F4485">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2）二次网侧：采集二次供水、回水温度、二次供水压力、回水压力。</w:t>
      </w:r>
    </w:p>
    <w:p w14:paraId="6214952E">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3）循环泵联动：采集循环泵运行、故障、手自动状态；可就地/远程启停泵；与变频柜通讯读取频率、电流故障信号。</w:t>
      </w:r>
    </w:p>
    <w:p w14:paraId="4AABF115">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4）报警功能：温度越限、压力越限、泵故障、变频器故障、水箱高低液位；声光报警。</w:t>
      </w:r>
    </w:p>
    <w:p w14:paraId="414C97A2">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5）数据通讯：支持Modbus RTU /Profinet；把全部测点上传供热调度平台；IO点位预留15%备用点位。</w:t>
      </w:r>
    </w:p>
    <w:p w14:paraId="3261F5FF">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6）程序要求：投标提供IO点位表；编写完整换热站控制程序、触摸屏组态；</w:t>
      </w:r>
    </w:p>
    <w:p w14:paraId="7755E46B">
      <w:pPr>
        <w:spacing w:line="360" w:lineRule="auto"/>
        <w:rPr>
          <w:rFonts w:hint="eastAsia" w:asciiTheme="minorEastAsia" w:hAnsiTheme="minorEastAsia"/>
          <w:b/>
          <w:bCs/>
          <w:color w:val="auto"/>
          <w:sz w:val="28"/>
          <w:szCs w:val="28"/>
        </w:rPr>
      </w:pPr>
      <w:r>
        <w:rPr>
          <w:rFonts w:hint="eastAsia" w:asciiTheme="minorEastAsia" w:hAnsiTheme="minorEastAsia"/>
          <w:b/>
          <w:bCs/>
          <w:color w:val="auto"/>
          <w:sz w:val="28"/>
          <w:szCs w:val="28"/>
        </w:rPr>
        <w:t>6.2变频柜技术要求</w:t>
      </w:r>
    </w:p>
    <w:p w14:paraId="3528E145">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适用：循环泵、补水泵变频柜，室内换热站机房，环境温度0 55℃，湿度≤85%。</w:t>
      </w:r>
    </w:p>
    <w:p w14:paraId="7C56EC67">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6.2.1、柜体结构要求</w:t>
      </w:r>
    </w:p>
    <w:p w14:paraId="2DB8318B">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落地仿威图柜体：柜体背板≥1.5mm，门板≥1.0mm，喷塑，RAL7032灰色；防护等级IP41（机房潮湿工况升级IP54）。</w:t>
      </w:r>
    </w:p>
    <w:p w14:paraId="0E515A5F">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配置柜门锁、散热风扇+防尘滤网；柜内强弱电分区布线；配独立零排、保护地排、仪表地排。</w:t>
      </w:r>
    </w:p>
    <w:p w14:paraId="62049CD1">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所有二次线缆两端带永久号码管标识；线槽规整；底部预留电缆进出孔；门上安装电流表、电压表、运行/故障指示灯、手 自动转换开关；柜外操作查看。</w:t>
      </w:r>
    </w:p>
    <w:p w14:paraId="6600E181">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柜体尺寸根据功率确定；变频、工频回路之间设置电气机械互锁，严禁变频、工频同时合闸，防止短路。</w:t>
      </w:r>
    </w:p>
    <w:p w14:paraId="4AD7FB10">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6.2.2、变频器本体技术参数（水泵风机专用）</w:t>
      </w:r>
    </w:p>
    <w:p w14:paraId="5AC76F8D">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适用标准：GB/T 12668.2，三相AC380V，50Hz；功率因数≥0.95；调速范围0 50Hz。</w:t>
      </w:r>
    </w:p>
    <w:p w14:paraId="300F4CCA">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不接受通用重载变频器，必须水泵风机专用机型。</w:t>
      </w:r>
    </w:p>
    <w:p w14:paraId="5601AFAF">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通讯：标配 Modbus RTU（RS485）；可上传频率、电流、电压、运行状态、故障代码；接收PLC的启停、频率指令；同时保留硬接线开关量信号。</w:t>
      </w:r>
    </w:p>
    <w:p w14:paraId="19BD9F4C">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6.2.3、主回路配置</w:t>
      </w:r>
    </w:p>
    <w:p w14:paraId="1A94EE78">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上传给自控柜信号（硬接线+通讯双路）</w:t>
      </w:r>
    </w:p>
    <w:p w14:paraId="5E8D2C7C">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开关量：变频器运行、变频器故障、就地/远程状态</w:t>
      </w:r>
    </w:p>
    <w:p w14:paraId="68F08868">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模拟量：运行频率、电机电流</w:t>
      </w:r>
    </w:p>
    <w:p w14:paraId="6EADE52E">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接收自控柜指令</w:t>
      </w:r>
    </w:p>
    <w:p w14:paraId="203E0907">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远程启停指令、远程频率给定（4 20mA或通讯）</w:t>
      </w:r>
    </w:p>
    <w:p w14:paraId="06ED1A01">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逻辑：</w:t>
      </w:r>
    </w:p>
    <w:p w14:paraId="510B3E47">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就地模式：不受远程指令控制；</w:t>
      </w:r>
    </w:p>
    <w:p w14:paraId="37610030">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远程模式：由PLC完成PID调速；循环泵按二次网供回水压差调速；补水泵按二次回水压力做恒压PID补水定压。</w:t>
      </w:r>
    </w:p>
    <w:p w14:paraId="1F50F57A">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故障时：柜面报警</w:t>
      </w:r>
    </w:p>
    <w:p w14:paraId="7FE5FA18">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6.2.4、出厂、资料、调试要求</w:t>
      </w:r>
    </w:p>
    <w:p w14:paraId="34B87470">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出厂前整机通电模拟调试，出具出厂测试报告。</w:t>
      </w:r>
    </w:p>
    <w:p w14:paraId="2357C122">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交付资料（纸质+电子版）：变频柜电气原理图、接线图、元器件清单、变频器说明书、通讯协议文档。</w:t>
      </w:r>
    </w:p>
    <w:p w14:paraId="78990406">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现场配合自控柜联调，提供技术支持，对运维人员做操作、故障排查培训。</w:t>
      </w:r>
    </w:p>
    <w:p w14:paraId="213C4FBF">
      <w:pPr>
        <w:spacing w:line="360" w:lineRule="auto"/>
        <w:rPr>
          <w:rFonts w:hint="eastAsia" w:asciiTheme="minorEastAsia" w:hAnsiTheme="minorEastAsia"/>
          <w:color w:val="auto"/>
          <w:sz w:val="24"/>
          <w:szCs w:val="24"/>
        </w:rPr>
      </w:pPr>
      <w:r>
        <w:rPr>
          <w:rFonts w:hint="eastAsia" w:asciiTheme="minorEastAsia" w:hAnsiTheme="minorEastAsia"/>
          <w:color w:val="auto"/>
          <w:sz w:val="24"/>
          <w:szCs w:val="24"/>
        </w:rPr>
        <w:t>6.2.5、质保</w:t>
      </w:r>
    </w:p>
    <w:p w14:paraId="21CC05B7">
      <w:pPr>
        <w:spacing w:line="36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整机质保2个参暖季；7×24h远程技术支持；省内接到故障通知48小时到达现场。</w:t>
      </w:r>
    </w:p>
    <w:p w14:paraId="50BB5120">
      <w:pPr>
        <w:spacing w:line="360" w:lineRule="auto"/>
        <w:rPr>
          <w:rFonts w:hint="eastAsia" w:asciiTheme="minorEastAsia" w:hAnsiTheme="minorEastAsia"/>
          <w:b/>
          <w:bCs/>
          <w:color w:val="auto"/>
          <w:sz w:val="24"/>
          <w:szCs w:val="24"/>
        </w:rPr>
      </w:pPr>
      <w:bookmarkStart w:id="25" w:name="_GoBack"/>
      <w:bookmarkEnd w:id="25"/>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32540"/>
      <w:docPartObj>
        <w:docPartGallery w:val="autotext"/>
      </w:docPartObj>
    </w:sdtPr>
    <w:sdtContent>
      <w:p w14:paraId="76F3C397">
        <w:pPr>
          <w:pStyle w:val="10"/>
          <w:jc w:val="right"/>
        </w:pPr>
        <w:r>
          <w:fldChar w:fldCharType="begin"/>
        </w:r>
        <w:r>
          <w:instrText xml:space="preserve"> PAGE   \* MERGEFORMAT </w:instrText>
        </w:r>
        <w:r>
          <w:fldChar w:fldCharType="separate"/>
        </w:r>
        <w:r>
          <w:rPr>
            <w:lang w:val="zh-CN"/>
          </w:rPr>
          <w:t>14</w:t>
        </w:r>
        <w:r>
          <w:rPr>
            <w:lang w:val="zh-CN"/>
          </w:rPr>
          <w:fldChar w:fldCharType="end"/>
        </w:r>
      </w:p>
    </w:sdtContent>
  </w:sdt>
  <w:p w14:paraId="00A37391">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CB51D9"/>
    <w:multiLevelType w:val="multilevel"/>
    <w:tmpl w:val="69CB51D9"/>
    <w:lvl w:ilvl="0" w:tentative="0">
      <w:start w:val="1"/>
      <w:numFmt w:val="decimal"/>
      <w:pStyle w:val="23"/>
      <w:lvlText w:val="%1."/>
      <w:lvlJc w:val="left"/>
      <w:pPr>
        <w:ind w:left="0" w:firstLine="0"/>
      </w:pPr>
      <w:rPr>
        <w:rFonts w:hint="eastAsia" w:ascii="宋体" w:eastAsia="宋体"/>
        <w:b/>
        <w:i w:val="0"/>
        <w:sz w:val="28"/>
      </w:rPr>
    </w:lvl>
    <w:lvl w:ilvl="1" w:tentative="0">
      <w:start w:val="1"/>
      <w:numFmt w:val="decimal"/>
      <w:pStyle w:val="24"/>
      <w:lvlText w:val="%1.%2."/>
      <w:lvlJc w:val="left"/>
      <w:pPr>
        <w:ind w:left="0" w:firstLine="0"/>
      </w:pPr>
      <w:rPr>
        <w:rFonts w:hint="eastAsia" w:ascii="宋体" w:eastAsia="宋体"/>
        <w:b/>
        <w:i w:val="0"/>
        <w:sz w:val="28"/>
      </w:rPr>
    </w:lvl>
    <w:lvl w:ilvl="2" w:tentative="0">
      <w:start w:val="1"/>
      <w:numFmt w:val="decimal"/>
      <w:pStyle w:val="25"/>
      <w:lvlText w:val="%1.%2.%3."/>
      <w:lvlJc w:val="left"/>
      <w:pPr>
        <w:ind w:left="0" w:firstLine="0"/>
      </w:pPr>
      <w:rPr>
        <w:rFonts w:hint="eastAsia" w:ascii="宋体" w:eastAsia="宋体"/>
        <w:b/>
        <w:i w:val="0"/>
        <w:sz w:val="28"/>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30"/>
    <w:rsid w:val="00003F7A"/>
    <w:rsid w:val="00017191"/>
    <w:rsid w:val="00020902"/>
    <w:rsid w:val="000209B1"/>
    <w:rsid w:val="0002110B"/>
    <w:rsid w:val="00022340"/>
    <w:rsid w:val="0002373E"/>
    <w:rsid w:val="000267B8"/>
    <w:rsid w:val="00030C0B"/>
    <w:rsid w:val="00032675"/>
    <w:rsid w:val="00033FF6"/>
    <w:rsid w:val="00042D01"/>
    <w:rsid w:val="00044295"/>
    <w:rsid w:val="00044E52"/>
    <w:rsid w:val="00046CB6"/>
    <w:rsid w:val="00051760"/>
    <w:rsid w:val="00061218"/>
    <w:rsid w:val="00065497"/>
    <w:rsid w:val="00065FEB"/>
    <w:rsid w:val="00067E0E"/>
    <w:rsid w:val="000752D1"/>
    <w:rsid w:val="00075EE6"/>
    <w:rsid w:val="0007683A"/>
    <w:rsid w:val="000818ED"/>
    <w:rsid w:val="00085C17"/>
    <w:rsid w:val="00086145"/>
    <w:rsid w:val="000878A0"/>
    <w:rsid w:val="0009252C"/>
    <w:rsid w:val="000946AA"/>
    <w:rsid w:val="00095675"/>
    <w:rsid w:val="00096D72"/>
    <w:rsid w:val="000A4E30"/>
    <w:rsid w:val="000A5977"/>
    <w:rsid w:val="000B062A"/>
    <w:rsid w:val="000B0E73"/>
    <w:rsid w:val="000B17F0"/>
    <w:rsid w:val="000B1B3C"/>
    <w:rsid w:val="000B56F0"/>
    <w:rsid w:val="000B664B"/>
    <w:rsid w:val="000C0EE1"/>
    <w:rsid w:val="000C1F7B"/>
    <w:rsid w:val="000C5453"/>
    <w:rsid w:val="000C6C46"/>
    <w:rsid w:val="000E53FF"/>
    <w:rsid w:val="000F10C3"/>
    <w:rsid w:val="000F1E3B"/>
    <w:rsid w:val="000F2592"/>
    <w:rsid w:val="000F7AFB"/>
    <w:rsid w:val="00103BF2"/>
    <w:rsid w:val="0010626C"/>
    <w:rsid w:val="00107D6F"/>
    <w:rsid w:val="00110F65"/>
    <w:rsid w:val="00113BF5"/>
    <w:rsid w:val="0011431F"/>
    <w:rsid w:val="00114504"/>
    <w:rsid w:val="00117A5A"/>
    <w:rsid w:val="00122808"/>
    <w:rsid w:val="00135E4C"/>
    <w:rsid w:val="00137909"/>
    <w:rsid w:val="00142ACA"/>
    <w:rsid w:val="001538EB"/>
    <w:rsid w:val="00160A8F"/>
    <w:rsid w:val="0016750B"/>
    <w:rsid w:val="001710DB"/>
    <w:rsid w:val="0018475F"/>
    <w:rsid w:val="00186AA9"/>
    <w:rsid w:val="001900F9"/>
    <w:rsid w:val="001903A1"/>
    <w:rsid w:val="001B22C5"/>
    <w:rsid w:val="001B4B3D"/>
    <w:rsid w:val="001B6726"/>
    <w:rsid w:val="001C023E"/>
    <w:rsid w:val="001C07CA"/>
    <w:rsid w:val="001C24F7"/>
    <w:rsid w:val="001D2D62"/>
    <w:rsid w:val="001D67AD"/>
    <w:rsid w:val="001D6CBB"/>
    <w:rsid w:val="001E1F47"/>
    <w:rsid w:val="001E49C0"/>
    <w:rsid w:val="001E6368"/>
    <w:rsid w:val="001E7967"/>
    <w:rsid w:val="001E7F94"/>
    <w:rsid w:val="001F14B8"/>
    <w:rsid w:val="001F1AAB"/>
    <w:rsid w:val="001F1CB8"/>
    <w:rsid w:val="001F31F1"/>
    <w:rsid w:val="001F7624"/>
    <w:rsid w:val="0020138C"/>
    <w:rsid w:val="002034B6"/>
    <w:rsid w:val="0020592A"/>
    <w:rsid w:val="00207639"/>
    <w:rsid w:val="00215780"/>
    <w:rsid w:val="002220C4"/>
    <w:rsid w:val="00224C5E"/>
    <w:rsid w:val="002311C8"/>
    <w:rsid w:val="00232E26"/>
    <w:rsid w:val="00233591"/>
    <w:rsid w:val="002341E9"/>
    <w:rsid w:val="00234589"/>
    <w:rsid w:val="002350B0"/>
    <w:rsid w:val="00236046"/>
    <w:rsid w:val="00243798"/>
    <w:rsid w:val="00243CD8"/>
    <w:rsid w:val="002508CA"/>
    <w:rsid w:val="002578FF"/>
    <w:rsid w:val="00260228"/>
    <w:rsid w:val="00264B49"/>
    <w:rsid w:val="00270505"/>
    <w:rsid w:val="00270B9F"/>
    <w:rsid w:val="00274349"/>
    <w:rsid w:val="00274B24"/>
    <w:rsid w:val="002771FE"/>
    <w:rsid w:val="002804EB"/>
    <w:rsid w:val="00281685"/>
    <w:rsid w:val="00282904"/>
    <w:rsid w:val="002829D3"/>
    <w:rsid w:val="00286877"/>
    <w:rsid w:val="002901FE"/>
    <w:rsid w:val="00290812"/>
    <w:rsid w:val="002912AE"/>
    <w:rsid w:val="00292BBB"/>
    <w:rsid w:val="002A6788"/>
    <w:rsid w:val="002A6E8C"/>
    <w:rsid w:val="002B741C"/>
    <w:rsid w:val="002C0288"/>
    <w:rsid w:val="002C16CE"/>
    <w:rsid w:val="002C68ED"/>
    <w:rsid w:val="002D1938"/>
    <w:rsid w:val="002D6C68"/>
    <w:rsid w:val="002E1CC9"/>
    <w:rsid w:val="002E6F57"/>
    <w:rsid w:val="002F3DCA"/>
    <w:rsid w:val="002F4545"/>
    <w:rsid w:val="002F7B02"/>
    <w:rsid w:val="003029F0"/>
    <w:rsid w:val="003058FA"/>
    <w:rsid w:val="003121E5"/>
    <w:rsid w:val="00313F1E"/>
    <w:rsid w:val="00321D3F"/>
    <w:rsid w:val="003236E5"/>
    <w:rsid w:val="00324CAB"/>
    <w:rsid w:val="0032712B"/>
    <w:rsid w:val="00331A1A"/>
    <w:rsid w:val="00332719"/>
    <w:rsid w:val="003340EF"/>
    <w:rsid w:val="00335652"/>
    <w:rsid w:val="003508C6"/>
    <w:rsid w:val="003548FC"/>
    <w:rsid w:val="00367799"/>
    <w:rsid w:val="00372FBA"/>
    <w:rsid w:val="0037736F"/>
    <w:rsid w:val="00380396"/>
    <w:rsid w:val="00382F17"/>
    <w:rsid w:val="00385216"/>
    <w:rsid w:val="00392D2F"/>
    <w:rsid w:val="00395FC5"/>
    <w:rsid w:val="003A17B6"/>
    <w:rsid w:val="003A2D6E"/>
    <w:rsid w:val="003A3403"/>
    <w:rsid w:val="003A3E94"/>
    <w:rsid w:val="003B2B3C"/>
    <w:rsid w:val="003B528C"/>
    <w:rsid w:val="003C1B99"/>
    <w:rsid w:val="003C305B"/>
    <w:rsid w:val="003C345A"/>
    <w:rsid w:val="003D10AF"/>
    <w:rsid w:val="003D18A1"/>
    <w:rsid w:val="003D4F23"/>
    <w:rsid w:val="003D66BA"/>
    <w:rsid w:val="003E0913"/>
    <w:rsid w:val="003E1AFC"/>
    <w:rsid w:val="003E2135"/>
    <w:rsid w:val="003E4612"/>
    <w:rsid w:val="003E74DA"/>
    <w:rsid w:val="003F615E"/>
    <w:rsid w:val="004035A7"/>
    <w:rsid w:val="0041383F"/>
    <w:rsid w:val="004168F2"/>
    <w:rsid w:val="00420640"/>
    <w:rsid w:val="00420C51"/>
    <w:rsid w:val="004262E8"/>
    <w:rsid w:val="004264C5"/>
    <w:rsid w:val="00427199"/>
    <w:rsid w:val="00427215"/>
    <w:rsid w:val="004275DF"/>
    <w:rsid w:val="004308AD"/>
    <w:rsid w:val="00433FAA"/>
    <w:rsid w:val="00435F4B"/>
    <w:rsid w:val="00440BB8"/>
    <w:rsid w:val="0045118A"/>
    <w:rsid w:val="00454BFD"/>
    <w:rsid w:val="004618BB"/>
    <w:rsid w:val="00462195"/>
    <w:rsid w:val="004634A3"/>
    <w:rsid w:val="00463816"/>
    <w:rsid w:val="00465383"/>
    <w:rsid w:val="004656A7"/>
    <w:rsid w:val="00466EEE"/>
    <w:rsid w:val="00471030"/>
    <w:rsid w:val="00471545"/>
    <w:rsid w:val="004730A2"/>
    <w:rsid w:val="0048051D"/>
    <w:rsid w:val="00481FF9"/>
    <w:rsid w:val="0048471A"/>
    <w:rsid w:val="0049163C"/>
    <w:rsid w:val="004919DA"/>
    <w:rsid w:val="00493B9D"/>
    <w:rsid w:val="0049486A"/>
    <w:rsid w:val="004A1DF0"/>
    <w:rsid w:val="004A2C18"/>
    <w:rsid w:val="004A3B46"/>
    <w:rsid w:val="004B6D6A"/>
    <w:rsid w:val="004C2DB2"/>
    <w:rsid w:val="004C73F8"/>
    <w:rsid w:val="004D0742"/>
    <w:rsid w:val="004F14D4"/>
    <w:rsid w:val="004F62A6"/>
    <w:rsid w:val="005010C6"/>
    <w:rsid w:val="0050237A"/>
    <w:rsid w:val="00507424"/>
    <w:rsid w:val="00510B6E"/>
    <w:rsid w:val="00517028"/>
    <w:rsid w:val="005211D6"/>
    <w:rsid w:val="005300A2"/>
    <w:rsid w:val="005303BE"/>
    <w:rsid w:val="00530537"/>
    <w:rsid w:val="00530719"/>
    <w:rsid w:val="00530C65"/>
    <w:rsid w:val="005310FC"/>
    <w:rsid w:val="00534CE6"/>
    <w:rsid w:val="00546671"/>
    <w:rsid w:val="00553516"/>
    <w:rsid w:val="00553FC4"/>
    <w:rsid w:val="00554454"/>
    <w:rsid w:val="005614FA"/>
    <w:rsid w:val="005630BA"/>
    <w:rsid w:val="005635BA"/>
    <w:rsid w:val="005642F9"/>
    <w:rsid w:val="005709C3"/>
    <w:rsid w:val="00581E83"/>
    <w:rsid w:val="00596750"/>
    <w:rsid w:val="005A0117"/>
    <w:rsid w:val="005A0BDE"/>
    <w:rsid w:val="005A1C1A"/>
    <w:rsid w:val="005A1F55"/>
    <w:rsid w:val="005A3ADE"/>
    <w:rsid w:val="005A407C"/>
    <w:rsid w:val="005A5F03"/>
    <w:rsid w:val="005B049C"/>
    <w:rsid w:val="005B5A18"/>
    <w:rsid w:val="005B6C4E"/>
    <w:rsid w:val="005D2107"/>
    <w:rsid w:val="005D4F88"/>
    <w:rsid w:val="005D5F26"/>
    <w:rsid w:val="005E0A56"/>
    <w:rsid w:val="005E0D2D"/>
    <w:rsid w:val="005E4D5C"/>
    <w:rsid w:val="005E4E87"/>
    <w:rsid w:val="005E61C4"/>
    <w:rsid w:val="005E6E2D"/>
    <w:rsid w:val="005F37A2"/>
    <w:rsid w:val="005F3813"/>
    <w:rsid w:val="005F4626"/>
    <w:rsid w:val="005F5B34"/>
    <w:rsid w:val="005F64D3"/>
    <w:rsid w:val="005F657A"/>
    <w:rsid w:val="0060240D"/>
    <w:rsid w:val="00603EF5"/>
    <w:rsid w:val="006117C5"/>
    <w:rsid w:val="00616997"/>
    <w:rsid w:val="00617214"/>
    <w:rsid w:val="006206BB"/>
    <w:rsid w:val="00620DB5"/>
    <w:rsid w:val="00624D07"/>
    <w:rsid w:val="006265EE"/>
    <w:rsid w:val="006305BD"/>
    <w:rsid w:val="00631F8C"/>
    <w:rsid w:val="00633674"/>
    <w:rsid w:val="00635902"/>
    <w:rsid w:val="00640AFB"/>
    <w:rsid w:val="0065613A"/>
    <w:rsid w:val="00660136"/>
    <w:rsid w:val="006609ED"/>
    <w:rsid w:val="00670DD1"/>
    <w:rsid w:val="00673889"/>
    <w:rsid w:val="00673F2A"/>
    <w:rsid w:val="00681495"/>
    <w:rsid w:val="00681F81"/>
    <w:rsid w:val="00682214"/>
    <w:rsid w:val="0068572B"/>
    <w:rsid w:val="00687124"/>
    <w:rsid w:val="006918A8"/>
    <w:rsid w:val="006A6055"/>
    <w:rsid w:val="006C0686"/>
    <w:rsid w:val="006C13A9"/>
    <w:rsid w:val="006C3364"/>
    <w:rsid w:val="006C5D3E"/>
    <w:rsid w:val="006C613F"/>
    <w:rsid w:val="006C6214"/>
    <w:rsid w:val="006C68D2"/>
    <w:rsid w:val="006D4297"/>
    <w:rsid w:val="006D4758"/>
    <w:rsid w:val="006D4F0F"/>
    <w:rsid w:val="006E0F99"/>
    <w:rsid w:val="006E2CFD"/>
    <w:rsid w:val="006E3BAF"/>
    <w:rsid w:val="006E60B7"/>
    <w:rsid w:val="006E7753"/>
    <w:rsid w:val="006E77D6"/>
    <w:rsid w:val="006E7DFF"/>
    <w:rsid w:val="006F5CA8"/>
    <w:rsid w:val="00705367"/>
    <w:rsid w:val="00712070"/>
    <w:rsid w:val="00717C2A"/>
    <w:rsid w:val="0072431F"/>
    <w:rsid w:val="0073719D"/>
    <w:rsid w:val="007515D9"/>
    <w:rsid w:val="007539FE"/>
    <w:rsid w:val="00754EDF"/>
    <w:rsid w:val="00757706"/>
    <w:rsid w:val="00761975"/>
    <w:rsid w:val="00761ADF"/>
    <w:rsid w:val="00763002"/>
    <w:rsid w:val="00764F81"/>
    <w:rsid w:val="00766B31"/>
    <w:rsid w:val="00771AEB"/>
    <w:rsid w:val="00771B8D"/>
    <w:rsid w:val="007753F2"/>
    <w:rsid w:val="0078146B"/>
    <w:rsid w:val="00783253"/>
    <w:rsid w:val="00786ABE"/>
    <w:rsid w:val="00791E7E"/>
    <w:rsid w:val="00792487"/>
    <w:rsid w:val="007A382D"/>
    <w:rsid w:val="007A503B"/>
    <w:rsid w:val="007B00E3"/>
    <w:rsid w:val="007B3187"/>
    <w:rsid w:val="007B4E8C"/>
    <w:rsid w:val="007B61B8"/>
    <w:rsid w:val="007B70CA"/>
    <w:rsid w:val="007C040E"/>
    <w:rsid w:val="007C36E1"/>
    <w:rsid w:val="007D37E6"/>
    <w:rsid w:val="007D3FA2"/>
    <w:rsid w:val="007D3FCA"/>
    <w:rsid w:val="007D75F2"/>
    <w:rsid w:val="007D7C9B"/>
    <w:rsid w:val="007E1224"/>
    <w:rsid w:val="007E26C8"/>
    <w:rsid w:val="007E49FE"/>
    <w:rsid w:val="007E5459"/>
    <w:rsid w:val="007E6E82"/>
    <w:rsid w:val="007E79B1"/>
    <w:rsid w:val="007F0DC3"/>
    <w:rsid w:val="007F1C1B"/>
    <w:rsid w:val="007F5A3D"/>
    <w:rsid w:val="007F7483"/>
    <w:rsid w:val="008050DF"/>
    <w:rsid w:val="00805E90"/>
    <w:rsid w:val="0080609D"/>
    <w:rsid w:val="00817A4A"/>
    <w:rsid w:val="00817CFF"/>
    <w:rsid w:val="00822A4C"/>
    <w:rsid w:val="00822FCC"/>
    <w:rsid w:val="00825C5D"/>
    <w:rsid w:val="00826971"/>
    <w:rsid w:val="00832187"/>
    <w:rsid w:val="0083598F"/>
    <w:rsid w:val="008370C8"/>
    <w:rsid w:val="008379A5"/>
    <w:rsid w:val="00845101"/>
    <w:rsid w:val="00847AC5"/>
    <w:rsid w:val="00850C06"/>
    <w:rsid w:val="008514EC"/>
    <w:rsid w:val="008515DA"/>
    <w:rsid w:val="008516CD"/>
    <w:rsid w:val="008557BC"/>
    <w:rsid w:val="008617F8"/>
    <w:rsid w:val="008640C3"/>
    <w:rsid w:val="00866DE0"/>
    <w:rsid w:val="0087429E"/>
    <w:rsid w:val="00874B9F"/>
    <w:rsid w:val="0087714A"/>
    <w:rsid w:val="008840CF"/>
    <w:rsid w:val="008903A1"/>
    <w:rsid w:val="00891A1C"/>
    <w:rsid w:val="0089431D"/>
    <w:rsid w:val="008A0E43"/>
    <w:rsid w:val="008A3678"/>
    <w:rsid w:val="008C7101"/>
    <w:rsid w:val="008D3F0A"/>
    <w:rsid w:val="008D6E2A"/>
    <w:rsid w:val="008D7EB7"/>
    <w:rsid w:val="008E03D2"/>
    <w:rsid w:val="008E2058"/>
    <w:rsid w:val="008E53D2"/>
    <w:rsid w:val="008F4B49"/>
    <w:rsid w:val="008F573D"/>
    <w:rsid w:val="008F6606"/>
    <w:rsid w:val="008F6AE1"/>
    <w:rsid w:val="00901097"/>
    <w:rsid w:val="00901B03"/>
    <w:rsid w:val="00916FE4"/>
    <w:rsid w:val="009218C0"/>
    <w:rsid w:val="00923C5F"/>
    <w:rsid w:val="0092475D"/>
    <w:rsid w:val="00924A66"/>
    <w:rsid w:val="009251ED"/>
    <w:rsid w:val="00925834"/>
    <w:rsid w:val="00925EF5"/>
    <w:rsid w:val="00931E58"/>
    <w:rsid w:val="00931E96"/>
    <w:rsid w:val="00932A54"/>
    <w:rsid w:val="00937473"/>
    <w:rsid w:val="00944326"/>
    <w:rsid w:val="00944931"/>
    <w:rsid w:val="00947132"/>
    <w:rsid w:val="009508A7"/>
    <w:rsid w:val="00951ED3"/>
    <w:rsid w:val="00952D97"/>
    <w:rsid w:val="009550E7"/>
    <w:rsid w:val="009572BE"/>
    <w:rsid w:val="009600D6"/>
    <w:rsid w:val="009619F5"/>
    <w:rsid w:val="00966E86"/>
    <w:rsid w:val="009700E2"/>
    <w:rsid w:val="0097524D"/>
    <w:rsid w:val="009815F2"/>
    <w:rsid w:val="00983DFE"/>
    <w:rsid w:val="0098412B"/>
    <w:rsid w:val="0099191B"/>
    <w:rsid w:val="00995885"/>
    <w:rsid w:val="009A0A65"/>
    <w:rsid w:val="009A2134"/>
    <w:rsid w:val="009A24A3"/>
    <w:rsid w:val="009A709B"/>
    <w:rsid w:val="009B2836"/>
    <w:rsid w:val="009B3A6D"/>
    <w:rsid w:val="009B5610"/>
    <w:rsid w:val="009B5A63"/>
    <w:rsid w:val="009C41BA"/>
    <w:rsid w:val="009C6110"/>
    <w:rsid w:val="009D2386"/>
    <w:rsid w:val="009D6C68"/>
    <w:rsid w:val="009E0205"/>
    <w:rsid w:val="009F2356"/>
    <w:rsid w:val="009F6EC1"/>
    <w:rsid w:val="009F7E8B"/>
    <w:rsid w:val="00A037E9"/>
    <w:rsid w:val="00A155E3"/>
    <w:rsid w:val="00A15951"/>
    <w:rsid w:val="00A16EC0"/>
    <w:rsid w:val="00A2221E"/>
    <w:rsid w:val="00A2535E"/>
    <w:rsid w:val="00A26C1F"/>
    <w:rsid w:val="00A27C10"/>
    <w:rsid w:val="00A32B28"/>
    <w:rsid w:val="00A32EFB"/>
    <w:rsid w:val="00A34A64"/>
    <w:rsid w:val="00A4023D"/>
    <w:rsid w:val="00A44053"/>
    <w:rsid w:val="00A44AA5"/>
    <w:rsid w:val="00A44C28"/>
    <w:rsid w:val="00A563DF"/>
    <w:rsid w:val="00A57A07"/>
    <w:rsid w:val="00A62F5E"/>
    <w:rsid w:val="00A63986"/>
    <w:rsid w:val="00A7097D"/>
    <w:rsid w:val="00A70A58"/>
    <w:rsid w:val="00A71F96"/>
    <w:rsid w:val="00A735B1"/>
    <w:rsid w:val="00A739DF"/>
    <w:rsid w:val="00A75334"/>
    <w:rsid w:val="00A75FFF"/>
    <w:rsid w:val="00A770A9"/>
    <w:rsid w:val="00A82E6D"/>
    <w:rsid w:val="00A83FB0"/>
    <w:rsid w:val="00A85BD0"/>
    <w:rsid w:val="00A873CB"/>
    <w:rsid w:val="00A90505"/>
    <w:rsid w:val="00A93D9A"/>
    <w:rsid w:val="00A94DE9"/>
    <w:rsid w:val="00AA1474"/>
    <w:rsid w:val="00AB224A"/>
    <w:rsid w:val="00AB3779"/>
    <w:rsid w:val="00AB40C3"/>
    <w:rsid w:val="00AB6070"/>
    <w:rsid w:val="00AB6ABB"/>
    <w:rsid w:val="00AC0B8F"/>
    <w:rsid w:val="00AC17FA"/>
    <w:rsid w:val="00AC1D89"/>
    <w:rsid w:val="00AC5B0F"/>
    <w:rsid w:val="00AC5C5D"/>
    <w:rsid w:val="00AC7F7C"/>
    <w:rsid w:val="00AD3A8F"/>
    <w:rsid w:val="00AE0110"/>
    <w:rsid w:val="00AE0B27"/>
    <w:rsid w:val="00AE1849"/>
    <w:rsid w:val="00AE2A65"/>
    <w:rsid w:val="00AE43B9"/>
    <w:rsid w:val="00AF042D"/>
    <w:rsid w:val="00B02EE4"/>
    <w:rsid w:val="00B05942"/>
    <w:rsid w:val="00B12556"/>
    <w:rsid w:val="00B13F5A"/>
    <w:rsid w:val="00B152C5"/>
    <w:rsid w:val="00B228B1"/>
    <w:rsid w:val="00B22BA8"/>
    <w:rsid w:val="00B22CBC"/>
    <w:rsid w:val="00B24550"/>
    <w:rsid w:val="00B25FAC"/>
    <w:rsid w:val="00B312F5"/>
    <w:rsid w:val="00B32492"/>
    <w:rsid w:val="00B3541D"/>
    <w:rsid w:val="00B37051"/>
    <w:rsid w:val="00B37509"/>
    <w:rsid w:val="00B40140"/>
    <w:rsid w:val="00B40DB8"/>
    <w:rsid w:val="00B4273F"/>
    <w:rsid w:val="00B42E02"/>
    <w:rsid w:val="00B430B9"/>
    <w:rsid w:val="00B43D82"/>
    <w:rsid w:val="00B43FC6"/>
    <w:rsid w:val="00B45DD5"/>
    <w:rsid w:val="00B53A9F"/>
    <w:rsid w:val="00B56E23"/>
    <w:rsid w:val="00B6208C"/>
    <w:rsid w:val="00B63FD4"/>
    <w:rsid w:val="00B64471"/>
    <w:rsid w:val="00B65252"/>
    <w:rsid w:val="00B652DF"/>
    <w:rsid w:val="00B667DF"/>
    <w:rsid w:val="00B707F6"/>
    <w:rsid w:val="00B76C26"/>
    <w:rsid w:val="00B81B76"/>
    <w:rsid w:val="00B835A3"/>
    <w:rsid w:val="00B93969"/>
    <w:rsid w:val="00BA47F2"/>
    <w:rsid w:val="00BA597E"/>
    <w:rsid w:val="00BA60D0"/>
    <w:rsid w:val="00BA6E03"/>
    <w:rsid w:val="00BB2D03"/>
    <w:rsid w:val="00BB3C9D"/>
    <w:rsid w:val="00BB6189"/>
    <w:rsid w:val="00BB635B"/>
    <w:rsid w:val="00BB7CD8"/>
    <w:rsid w:val="00BC0E4D"/>
    <w:rsid w:val="00BC3EC0"/>
    <w:rsid w:val="00BC5F92"/>
    <w:rsid w:val="00BD103A"/>
    <w:rsid w:val="00BD212F"/>
    <w:rsid w:val="00BD3099"/>
    <w:rsid w:val="00BD46BB"/>
    <w:rsid w:val="00BD4B2D"/>
    <w:rsid w:val="00BE2BB7"/>
    <w:rsid w:val="00BE5FC2"/>
    <w:rsid w:val="00BE734B"/>
    <w:rsid w:val="00C007EC"/>
    <w:rsid w:val="00C07807"/>
    <w:rsid w:val="00C1036E"/>
    <w:rsid w:val="00C105EE"/>
    <w:rsid w:val="00C10EF7"/>
    <w:rsid w:val="00C23BA7"/>
    <w:rsid w:val="00C2455E"/>
    <w:rsid w:val="00C43685"/>
    <w:rsid w:val="00C437ED"/>
    <w:rsid w:val="00C46BCC"/>
    <w:rsid w:val="00C54F55"/>
    <w:rsid w:val="00C562C1"/>
    <w:rsid w:val="00C5637E"/>
    <w:rsid w:val="00C71040"/>
    <w:rsid w:val="00C7189F"/>
    <w:rsid w:val="00C754B8"/>
    <w:rsid w:val="00C81547"/>
    <w:rsid w:val="00C839AD"/>
    <w:rsid w:val="00C85581"/>
    <w:rsid w:val="00C86C6B"/>
    <w:rsid w:val="00C8764A"/>
    <w:rsid w:val="00C9110D"/>
    <w:rsid w:val="00CA3085"/>
    <w:rsid w:val="00CA4E16"/>
    <w:rsid w:val="00CA507C"/>
    <w:rsid w:val="00CA6E0E"/>
    <w:rsid w:val="00CB21DE"/>
    <w:rsid w:val="00CB3D98"/>
    <w:rsid w:val="00CB3F03"/>
    <w:rsid w:val="00CB538B"/>
    <w:rsid w:val="00CC3759"/>
    <w:rsid w:val="00CC5002"/>
    <w:rsid w:val="00CC650E"/>
    <w:rsid w:val="00CD1876"/>
    <w:rsid w:val="00CD3345"/>
    <w:rsid w:val="00CD3813"/>
    <w:rsid w:val="00CD460C"/>
    <w:rsid w:val="00CD63DE"/>
    <w:rsid w:val="00CD6C10"/>
    <w:rsid w:val="00CE10B1"/>
    <w:rsid w:val="00CE1E9B"/>
    <w:rsid w:val="00CE2374"/>
    <w:rsid w:val="00CE4C3E"/>
    <w:rsid w:val="00CE58FD"/>
    <w:rsid w:val="00CE78E7"/>
    <w:rsid w:val="00CF0B52"/>
    <w:rsid w:val="00CF3645"/>
    <w:rsid w:val="00CF3D85"/>
    <w:rsid w:val="00CF51FA"/>
    <w:rsid w:val="00CF58B9"/>
    <w:rsid w:val="00D04423"/>
    <w:rsid w:val="00D04724"/>
    <w:rsid w:val="00D10015"/>
    <w:rsid w:val="00D12EAC"/>
    <w:rsid w:val="00D15672"/>
    <w:rsid w:val="00D17ECD"/>
    <w:rsid w:val="00D21153"/>
    <w:rsid w:val="00D21577"/>
    <w:rsid w:val="00D2196A"/>
    <w:rsid w:val="00D23955"/>
    <w:rsid w:val="00D24C38"/>
    <w:rsid w:val="00D26A0B"/>
    <w:rsid w:val="00D3396D"/>
    <w:rsid w:val="00D33AD5"/>
    <w:rsid w:val="00D34048"/>
    <w:rsid w:val="00D36447"/>
    <w:rsid w:val="00D368A9"/>
    <w:rsid w:val="00D375C9"/>
    <w:rsid w:val="00D40009"/>
    <w:rsid w:val="00D466F6"/>
    <w:rsid w:val="00D50171"/>
    <w:rsid w:val="00D50A56"/>
    <w:rsid w:val="00D529D5"/>
    <w:rsid w:val="00D53ECE"/>
    <w:rsid w:val="00D553E0"/>
    <w:rsid w:val="00D56A79"/>
    <w:rsid w:val="00D644B7"/>
    <w:rsid w:val="00D66639"/>
    <w:rsid w:val="00D70E1A"/>
    <w:rsid w:val="00D72CA4"/>
    <w:rsid w:val="00D7684D"/>
    <w:rsid w:val="00D77229"/>
    <w:rsid w:val="00D81586"/>
    <w:rsid w:val="00D87529"/>
    <w:rsid w:val="00D900F6"/>
    <w:rsid w:val="00D960A9"/>
    <w:rsid w:val="00D96AF4"/>
    <w:rsid w:val="00DA1622"/>
    <w:rsid w:val="00DA197A"/>
    <w:rsid w:val="00DA2F9A"/>
    <w:rsid w:val="00DA4E03"/>
    <w:rsid w:val="00DA505D"/>
    <w:rsid w:val="00DA5C24"/>
    <w:rsid w:val="00DB256B"/>
    <w:rsid w:val="00DB6CA4"/>
    <w:rsid w:val="00DC7559"/>
    <w:rsid w:val="00DD0CBA"/>
    <w:rsid w:val="00DD6C31"/>
    <w:rsid w:val="00DD7856"/>
    <w:rsid w:val="00DD79EE"/>
    <w:rsid w:val="00DE068F"/>
    <w:rsid w:val="00DE51EA"/>
    <w:rsid w:val="00DE625C"/>
    <w:rsid w:val="00DF0507"/>
    <w:rsid w:val="00DF2657"/>
    <w:rsid w:val="00DF45ED"/>
    <w:rsid w:val="00DF5A6D"/>
    <w:rsid w:val="00E06241"/>
    <w:rsid w:val="00E07DC2"/>
    <w:rsid w:val="00E10B56"/>
    <w:rsid w:val="00E24E25"/>
    <w:rsid w:val="00E25418"/>
    <w:rsid w:val="00E25589"/>
    <w:rsid w:val="00E2571E"/>
    <w:rsid w:val="00E266F1"/>
    <w:rsid w:val="00E3207E"/>
    <w:rsid w:val="00E32F56"/>
    <w:rsid w:val="00E37255"/>
    <w:rsid w:val="00E462A8"/>
    <w:rsid w:val="00E46AC5"/>
    <w:rsid w:val="00E4739D"/>
    <w:rsid w:val="00E5222F"/>
    <w:rsid w:val="00E52F98"/>
    <w:rsid w:val="00E557DC"/>
    <w:rsid w:val="00E56D42"/>
    <w:rsid w:val="00E60298"/>
    <w:rsid w:val="00E6215D"/>
    <w:rsid w:val="00E6327C"/>
    <w:rsid w:val="00E63899"/>
    <w:rsid w:val="00E67022"/>
    <w:rsid w:val="00E74396"/>
    <w:rsid w:val="00E80AC4"/>
    <w:rsid w:val="00E83032"/>
    <w:rsid w:val="00E83804"/>
    <w:rsid w:val="00E83E9C"/>
    <w:rsid w:val="00E83F5A"/>
    <w:rsid w:val="00E84A74"/>
    <w:rsid w:val="00E87C79"/>
    <w:rsid w:val="00E93577"/>
    <w:rsid w:val="00E97920"/>
    <w:rsid w:val="00EA07FC"/>
    <w:rsid w:val="00EA7111"/>
    <w:rsid w:val="00EA7A56"/>
    <w:rsid w:val="00EB1BF8"/>
    <w:rsid w:val="00EB2B24"/>
    <w:rsid w:val="00EB7064"/>
    <w:rsid w:val="00EC2C67"/>
    <w:rsid w:val="00EC45C3"/>
    <w:rsid w:val="00EC53BA"/>
    <w:rsid w:val="00EC5462"/>
    <w:rsid w:val="00EC6BD6"/>
    <w:rsid w:val="00ED071C"/>
    <w:rsid w:val="00ED0DDB"/>
    <w:rsid w:val="00ED4E8A"/>
    <w:rsid w:val="00EE25F4"/>
    <w:rsid w:val="00EE393C"/>
    <w:rsid w:val="00EF0BA5"/>
    <w:rsid w:val="00EF1CD9"/>
    <w:rsid w:val="00EF3BA1"/>
    <w:rsid w:val="00EF49A7"/>
    <w:rsid w:val="00EF6400"/>
    <w:rsid w:val="00EF6658"/>
    <w:rsid w:val="00F004C4"/>
    <w:rsid w:val="00F04A3C"/>
    <w:rsid w:val="00F068D9"/>
    <w:rsid w:val="00F119A9"/>
    <w:rsid w:val="00F128B3"/>
    <w:rsid w:val="00F200CA"/>
    <w:rsid w:val="00F226AC"/>
    <w:rsid w:val="00F2359C"/>
    <w:rsid w:val="00F3148C"/>
    <w:rsid w:val="00F3565D"/>
    <w:rsid w:val="00F358C2"/>
    <w:rsid w:val="00F46553"/>
    <w:rsid w:val="00F469F7"/>
    <w:rsid w:val="00F50A08"/>
    <w:rsid w:val="00F5153D"/>
    <w:rsid w:val="00F51CA2"/>
    <w:rsid w:val="00F53D93"/>
    <w:rsid w:val="00F547B5"/>
    <w:rsid w:val="00F57056"/>
    <w:rsid w:val="00F578B3"/>
    <w:rsid w:val="00F57E82"/>
    <w:rsid w:val="00F60D69"/>
    <w:rsid w:val="00F64585"/>
    <w:rsid w:val="00F66C59"/>
    <w:rsid w:val="00F6774E"/>
    <w:rsid w:val="00F702D6"/>
    <w:rsid w:val="00F7244A"/>
    <w:rsid w:val="00F77282"/>
    <w:rsid w:val="00F83B37"/>
    <w:rsid w:val="00F91425"/>
    <w:rsid w:val="00F9192D"/>
    <w:rsid w:val="00F91E5C"/>
    <w:rsid w:val="00F91FED"/>
    <w:rsid w:val="00F9459B"/>
    <w:rsid w:val="00F94904"/>
    <w:rsid w:val="00FA0087"/>
    <w:rsid w:val="00FA1F8E"/>
    <w:rsid w:val="00FA6D94"/>
    <w:rsid w:val="00FB1FAC"/>
    <w:rsid w:val="00FB2E63"/>
    <w:rsid w:val="00FB2F4B"/>
    <w:rsid w:val="00FB48D3"/>
    <w:rsid w:val="00FB56BA"/>
    <w:rsid w:val="00FB72CA"/>
    <w:rsid w:val="00FC1030"/>
    <w:rsid w:val="00FC296F"/>
    <w:rsid w:val="00FC640E"/>
    <w:rsid w:val="00FD1894"/>
    <w:rsid w:val="00FD566E"/>
    <w:rsid w:val="00FD7C1B"/>
    <w:rsid w:val="00FE37A8"/>
    <w:rsid w:val="00FE3D25"/>
    <w:rsid w:val="00FE58B5"/>
    <w:rsid w:val="43B0322C"/>
    <w:rsid w:val="4A7B3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cstheme="minorHAnsi"/>
      <w:sz w:val="18"/>
      <w:szCs w:val="18"/>
    </w:r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7">
    <w:name w:val="toc 5"/>
    <w:basedOn w:val="1"/>
    <w:next w:val="1"/>
    <w:autoRedefine/>
    <w:unhideWhenUsed/>
    <w:qFormat/>
    <w:uiPriority w:val="39"/>
    <w:pPr>
      <w:ind w:left="840"/>
      <w:jc w:val="left"/>
    </w:pPr>
    <w:rPr>
      <w:rFonts w:cstheme="minorHAnsi"/>
      <w:sz w:val="18"/>
      <w:szCs w:val="18"/>
    </w:rPr>
  </w:style>
  <w:style w:type="paragraph" w:styleId="8">
    <w:name w:val="toc 3"/>
    <w:basedOn w:val="1"/>
    <w:next w:val="1"/>
    <w:autoRedefine/>
    <w:unhideWhenUsed/>
    <w:qFormat/>
    <w:uiPriority w:val="39"/>
    <w:pPr>
      <w:ind w:left="420"/>
      <w:jc w:val="left"/>
    </w:pPr>
    <w:rPr>
      <w:rFonts w:cstheme="minorHAnsi"/>
      <w:i/>
      <w:iCs/>
      <w:sz w:val="20"/>
      <w:szCs w:val="20"/>
    </w:rPr>
  </w:style>
  <w:style w:type="paragraph" w:styleId="9">
    <w:name w:val="toc 8"/>
    <w:basedOn w:val="1"/>
    <w:next w:val="1"/>
    <w:autoRedefine/>
    <w:unhideWhenUsed/>
    <w:qFormat/>
    <w:uiPriority w:val="39"/>
    <w:pPr>
      <w:ind w:left="1470"/>
      <w:jc w:val="left"/>
    </w:pPr>
    <w:rPr>
      <w:rFonts w:cstheme="minorHAnsi"/>
      <w:sz w:val="18"/>
      <w:szCs w:val="18"/>
    </w:rPr>
  </w:style>
  <w:style w:type="paragraph" w:styleId="10">
    <w:name w:val="footer"/>
    <w:basedOn w:val="1"/>
    <w:link w:val="22"/>
    <w:unhideWhenUsed/>
    <w:qFormat/>
    <w:uiPriority w:val="0"/>
    <w:pPr>
      <w:snapToGrid w:val="0"/>
      <w:jc w:val="left"/>
    </w:pPr>
    <w:rPr>
      <w:rFonts w:ascii="Times New Roman" w:hAnsi="Times New Roman" w:eastAsia="宋体" w:cs="Times New Roman"/>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spacing w:before="120" w:after="120"/>
      <w:jc w:val="left"/>
    </w:pPr>
    <w:rPr>
      <w:rFonts w:cstheme="minorHAnsi"/>
      <w:b/>
      <w:bCs/>
      <w:caps/>
      <w:sz w:val="20"/>
      <w:szCs w:val="20"/>
    </w:rPr>
  </w:style>
  <w:style w:type="paragraph" w:styleId="13">
    <w:name w:val="toc 4"/>
    <w:basedOn w:val="1"/>
    <w:next w:val="1"/>
    <w:autoRedefine/>
    <w:unhideWhenUsed/>
    <w:qFormat/>
    <w:uiPriority w:val="39"/>
    <w:pPr>
      <w:ind w:left="630"/>
      <w:jc w:val="left"/>
    </w:pPr>
    <w:rPr>
      <w:rFonts w:cstheme="minorHAnsi"/>
      <w:sz w:val="18"/>
      <w:szCs w:val="18"/>
    </w:rPr>
  </w:style>
  <w:style w:type="paragraph" w:styleId="14">
    <w:name w:val="toc 6"/>
    <w:basedOn w:val="1"/>
    <w:next w:val="1"/>
    <w:autoRedefine/>
    <w:unhideWhenUsed/>
    <w:qFormat/>
    <w:uiPriority w:val="39"/>
    <w:pPr>
      <w:ind w:left="1050"/>
      <w:jc w:val="left"/>
    </w:pPr>
    <w:rPr>
      <w:rFonts w:cstheme="minorHAnsi"/>
      <w:sz w:val="18"/>
      <w:szCs w:val="18"/>
    </w:rPr>
  </w:style>
  <w:style w:type="paragraph" w:styleId="15">
    <w:name w:val="toc 2"/>
    <w:basedOn w:val="1"/>
    <w:next w:val="1"/>
    <w:autoRedefine/>
    <w:unhideWhenUsed/>
    <w:qFormat/>
    <w:uiPriority w:val="39"/>
    <w:pPr>
      <w:ind w:left="210"/>
      <w:jc w:val="left"/>
    </w:pPr>
    <w:rPr>
      <w:rFonts w:cstheme="minorHAnsi"/>
      <w:smallCaps/>
      <w:sz w:val="20"/>
      <w:szCs w:val="20"/>
    </w:rPr>
  </w:style>
  <w:style w:type="paragraph" w:styleId="16">
    <w:name w:val="toc 9"/>
    <w:basedOn w:val="1"/>
    <w:next w:val="1"/>
    <w:autoRedefine/>
    <w:unhideWhenUsed/>
    <w:qFormat/>
    <w:uiPriority w:val="39"/>
    <w:pPr>
      <w:ind w:left="1680"/>
      <w:jc w:val="left"/>
    </w:pPr>
    <w:rPr>
      <w:rFonts w:cstheme="minorHAnsi"/>
      <w:sz w:val="18"/>
      <w:szCs w:val="18"/>
    </w:rPr>
  </w:style>
  <w:style w:type="table" w:styleId="18">
    <w:name w:val="Table Grid"/>
    <w:basedOn w:val="1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页脚 字符"/>
    <w:basedOn w:val="19"/>
    <w:link w:val="10"/>
    <w:qFormat/>
    <w:uiPriority w:val="99"/>
    <w:rPr>
      <w:rFonts w:ascii="Times New Roman" w:hAnsi="Times New Roman" w:eastAsia="宋体" w:cs="Times New Roman"/>
      <w:sz w:val="18"/>
      <w:szCs w:val="18"/>
    </w:rPr>
  </w:style>
  <w:style w:type="paragraph" w:customStyle="1" w:styleId="23">
    <w:name w:val="1"/>
    <w:basedOn w:val="1"/>
    <w:next w:val="1"/>
    <w:qFormat/>
    <w:uiPriority w:val="0"/>
    <w:pPr>
      <w:numPr>
        <w:ilvl w:val="0"/>
        <w:numId w:val="1"/>
      </w:numPr>
      <w:spacing w:line="360" w:lineRule="auto"/>
      <w:jc w:val="left"/>
      <w:outlineLvl w:val="0"/>
    </w:pPr>
    <w:rPr>
      <w:rFonts w:asciiTheme="minorEastAsia"/>
      <w:b/>
      <w:sz w:val="28"/>
    </w:rPr>
  </w:style>
  <w:style w:type="paragraph" w:customStyle="1" w:styleId="24">
    <w:name w:val="2"/>
    <w:basedOn w:val="1"/>
    <w:next w:val="1"/>
    <w:qFormat/>
    <w:uiPriority w:val="0"/>
    <w:pPr>
      <w:numPr>
        <w:ilvl w:val="1"/>
        <w:numId w:val="1"/>
      </w:numPr>
      <w:spacing w:line="360" w:lineRule="auto"/>
      <w:jc w:val="left"/>
      <w:outlineLvl w:val="1"/>
    </w:pPr>
    <w:rPr>
      <w:rFonts w:asciiTheme="minorEastAsia"/>
      <w:b/>
      <w:sz w:val="28"/>
    </w:rPr>
  </w:style>
  <w:style w:type="paragraph" w:customStyle="1" w:styleId="25">
    <w:name w:val="3"/>
    <w:basedOn w:val="1"/>
    <w:next w:val="1"/>
    <w:qFormat/>
    <w:uiPriority w:val="0"/>
    <w:pPr>
      <w:numPr>
        <w:ilvl w:val="2"/>
        <w:numId w:val="1"/>
      </w:numPr>
      <w:jc w:val="left"/>
      <w:outlineLvl w:val="2"/>
    </w:pPr>
    <w:rPr>
      <w:rFonts w:asciiTheme="minorEastAsia"/>
      <w:b/>
      <w:sz w:val="28"/>
    </w:rPr>
  </w:style>
  <w:style w:type="character" w:customStyle="1" w:styleId="26">
    <w:name w:val="页眉 字符"/>
    <w:basedOn w:val="19"/>
    <w:link w:val="11"/>
    <w:qFormat/>
    <w:uiPriority w:val="99"/>
    <w:rPr>
      <w:sz w:val="18"/>
      <w:szCs w:val="18"/>
    </w:rPr>
  </w:style>
  <w:style w:type="character" w:customStyle="1" w:styleId="27">
    <w:name w:val="标题 1 字符"/>
    <w:basedOn w:val="19"/>
    <w:link w:val="2"/>
    <w:qFormat/>
    <w:uiPriority w:val="9"/>
    <w:rPr>
      <w:b/>
      <w:bCs/>
      <w:kern w:val="44"/>
      <w:sz w:val="44"/>
      <w:szCs w:val="44"/>
    </w:rPr>
  </w:style>
  <w:style w:type="character" w:customStyle="1" w:styleId="28">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29">
    <w:name w:val="标题 3 字符"/>
    <w:basedOn w:val="19"/>
    <w:link w:val="4"/>
    <w:semiHidden/>
    <w:qFormat/>
    <w:uiPriority w:val="9"/>
    <w:rPr>
      <w:b/>
      <w:bCs/>
      <w:sz w:val="32"/>
      <w:szCs w:val="32"/>
    </w:rPr>
  </w:style>
  <w:style w:type="paragraph" w:customStyle="1" w:styleId="30">
    <w:name w:val="Char1"/>
    <w:basedOn w:val="1"/>
    <w:qFormat/>
    <w:uiPriority w:val="0"/>
    <w:pPr>
      <w:jc w:val="left"/>
    </w:pPr>
    <w:rPr>
      <w:rFonts w:ascii="Times" w:hAnsi="Times" w:eastAsia="宋体" w:cs="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53524-8A8E-4EA8-82A8-0399575B701A}">
  <ds:schemaRefs/>
</ds:datastoreItem>
</file>

<file path=docProps/app.xml><?xml version="1.0" encoding="utf-8"?>
<Properties xmlns="http://schemas.openxmlformats.org/officeDocument/2006/extended-properties" xmlns:vt="http://schemas.openxmlformats.org/officeDocument/2006/docPropsVTypes">
  <Template>Normal</Template>
  <Pages>9</Pages>
  <Words>5425</Words>
  <Characters>6083</Characters>
  <Lines>51</Lines>
  <Paragraphs>14</Paragraphs>
  <TotalTime>19</TotalTime>
  <ScaleCrop>false</ScaleCrop>
  <LinksUpToDate>false</LinksUpToDate>
  <CharactersWithSpaces>6146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2026-08-31T05:26:00Z</dcterms:created>
  <dc:creator>Administrator</dc:creator>
  <cp:lastModifiedBy>Zoomzoom丶</cp:lastModifiedBy>
  <dcterms:modified xsi:type="dcterms:W3CDTF">2026-08-31T07:23:12Z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eyJoZGlkIjoiYjE3NWI5ZmY1YmYxMzgxNzkxY2Q2Y2FiZjc1MzIwODMiLCJ1c2VySWQiOiI5Mjk3NTM4OTcifQ==</vt:lpwstr>
  </property>
  <property fmtid="{D5CDD505-2E9C-101B-9397-08002B2CF9AE}" pid="3" name="KSOProductBuildVer">
    <vt:lpwstr>2052-12.1.0.28043</vt:lpwstr>
  </property>
  <property fmtid="{D5CDD505-2E9C-101B-9397-08002B2CF9AE}" pid="4" name="ICV">
    <vt:lpwstr>A4553FC60CFA4223A108F6D3C4616223_12</vt:lpwstr>
  </property>
</Properties>
</file>