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color w:val="auto"/>
        </w:rPr>
      </w:pPr>
      <w:r>
        <w:rPr>
          <w:rFonts w:hint="eastAsia" w:ascii="宋体" w:hAnsi="宋体" w:cs="宋体"/>
          <w:b/>
          <w:bCs/>
          <w:color w:val="auto"/>
          <w:sz w:val="28"/>
          <w:szCs w:val="28"/>
          <w:lang w:eastAsia="zh-CN"/>
        </w:rPr>
        <w:t>评分标准</w:t>
      </w:r>
    </w:p>
    <w:tbl>
      <w:tblPr>
        <w:tblStyle w:val="3"/>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28"/>
        <w:gridCol w:w="598"/>
        <w:gridCol w:w="266"/>
        <w:gridCol w:w="4226"/>
        <w:gridCol w:w="1063"/>
        <w:gridCol w:w="1270"/>
        <w:gridCol w:w="1355"/>
        <w:gridCol w:w="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5" w:hRule="atLeast"/>
          <w:jc w:val="center"/>
        </w:trPr>
        <w:tc>
          <w:tcPr>
            <w:tcW w:w="1126" w:type="dxa"/>
            <w:gridSpan w:val="2"/>
            <w:noWrap w:val="0"/>
            <w:vAlign w:val="center"/>
          </w:tcPr>
          <w:p>
            <w:pPr>
              <w:spacing w:before="0" w:after="0" w:line="0" w:lineRule="atLeast"/>
              <w:jc w:val="center"/>
              <w:rPr>
                <w:rFonts w:hint="eastAsia" w:ascii="宋体" w:hAnsi="宋体" w:cs="宋体"/>
                <w:b/>
                <w:bCs/>
                <w:color w:val="auto"/>
                <w:szCs w:val="21"/>
                <w:lang w:eastAsia="zh-CN"/>
              </w:rPr>
            </w:pPr>
            <w:r>
              <w:rPr>
                <w:rFonts w:hint="eastAsia" w:ascii="宋体" w:hAnsi="宋体" w:cs="宋体"/>
                <w:b/>
                <w:bCs/>
                <w:color w:val="auto"/>
                <w:szCs w:val="21"/>
                <w:lang w:eastAsia="zh-CN"/>
              </w:rPr>
              <w:t>项目</w:t>
            </w:r>
          </w:p>
        </w:tc>
        <w:tc>
          <w:tcPr>
            <w:tcW w:w="4492" w:type="dxa"/>
            <w:gridSpan w:val="2"/>
            <w:noWrap w:val="0"/>
            <w:vAlign w:val="center"/>
          </w:tcPr>
          <w:p>
            <w:pPr>
              <w:spacing w:before="0" w:after="0" w:line="0" w:lineRule="atLeast"/>
              <w:jc w:val="center"/>
              <w:rPr>
                <w:rFonts w:hint="eastAsia" w:ascii="宋体" w:hAnsi="宋体" w:cs="宋体"/>
                <w:b/>
                <w:bCs/>
                <w:color w:val="auto"/>
                <w:szCs w:val="21"/>
                <w:lang w:eastAsia="zh-CN"/>
              </w:rPr>
            </w:pPr>
            <w:r>
              <w:rPr>
                <w:rFonts w:hint="eastAsia" w:ascii="宋体" w:hAnsi="宋体" w:cs="宋体"/>
                <w:b/>
                <w:bCs/>
                <w:color w:val="auto"/>
                <w:szCs w:val="21"/>
                <w:lang w:val="en-US" w:eastAsia="zh-Hans"/>
              </w:rPr>
              <w:t>评审</w:t>
            </w:r>
            <w:r>
              <w:rPr>
                <w:rFonts w:hint="eastAsia" w:ascii="宋体" w:hAnsi="宋体" w:cs="宋体"/>
                <w:b/>
                <w:bCs/>
                <w:color w:val="auto"/>
                <w:szCs w:val="21"/>
                <w:lang w:eastAsia="zh-CN"/>
              </w:rPr>
              <w:t>内容</w:t>
            </w:r>
          </w:p>
        </w:tc>
        <w:tc>
          <w:tcPr>
            <w:tcW w:w="1063" w:type="dxa"/>
            <w:noWrap w:val="0"/>
            <w:vAlign w:val="center"/>
          </w:tcPr>
          <w:p>
            <w:pPr>
              <w:spacing w:line="240" w:lineRule="atLeast"/>
              <w:ind w:firstLine="201" w:firstLineChars="100"/>
              <w:jc w:val="both"/>
              <w:rPr>
                <w:rFonts w:hint="eastAsia" w:ascii="宋体" w:hAnsi="宋体" w:cs="宋体"/>
                <w:b/>
                <w:bCs/>
                <w:color w:val="auto"/>
                <w:lang w:eastAsia="zh-CN"/>
              </w:rPr>
            </w:pPr>
            <w:r>
              <w:rPr>
                <w:rFonts w:hint="eastAsia" w:ascii="宋体" w:hAnsi="宋体" w:cs="宋体"/>
                <w:b/>
                <w:bCs/>
                <w:color w:val="auto"/>
                <w:lang w:eastAsia="zh-CN"/>
              </w:rPr>
              <w:t>分值</w:t>
            </w:r>
          </w:p>
        </w:tc>
        <w:tc>
          <w:tcPr>
            <w:tcW w:w="1270" w:type="dxa"/>
            <w:noWrap w:val="0"/>
            <w:vAlign w:val="center"/>
          </w:tcPr>
          <w:p>
            <w:pPr>
              <w:spacing w:line="240" w:lineRule="atLeast"/>
              <w:ind w:firstLine="201" w:firstLineChars="100"/>
              <w:jc w:val="both"/>
              <w:rPr>
                <w:rFonts w:hint="default" w:ascii="宋体" w:hAnsi="宋体" w:eastAsia="宋体" w:cs="宋体"/>
                <w:b/>
                <w:bCs/>
                <w:color w:val="auto"/>
                <w:lang w:val="en-US" w:eastAsia="zh-Hans"/>
              </w:rPr>
            </w:pPr>
            <w:r>
              <w:rPr>
                <w:rFonts w:hint="eastAsia" w:ascii="宋体" w:hAnsi="宋体" w:cs="宋体"/>
                <w:b/>
                <w:bCs/>
                <w:color w:val="auto"/>
                <w:lang w:val="en-US" w:eastAsia="zh-Hans"/>
              </w:rPr>
              <w:t>得分</w:t>
            </w:r>
          </w:p>
        </w:tc>
        <w:tc>
          <w:tcPr>
            <w:tcW w:w="1367" w:type="dxa"/>
            <w:gridSpan w:val="2"/>
            <w:noWrap w:val="0"/>
            <w:vAlign w:val="center"/>
          </w:tcPr>
          <w:p>
            <w:pPr>
              <w:spacing w:line="240" w:lineRule="atLeast"/>
              <w:ind w:firstLine="402" w:firstLineChars="200"/>
              <w:jc w:val="both"/>
              <w:rPr>
                <w:rFonts w:hint="eastAsia" w:ascii="宋体" w:hAnsi="宋体" w:eastAsia="宋体" w:cs="宋体"/>
                <w:b/>
                <w:bCs/>
                <w:color w:val="auto"/>
                <w:lang w:val="en-US" w:eastAsia="zh-Hans"/>
              </w:rPr>
            </w:pPr>
            <w:r>
              <w:rPr>
                <w:rFonts w:hint="eastAsia" w:ascii="宋体" w:hAnsi="宋体" w:cs="宋体"/>
                <w:b/>
                <w:bCs/>
                <w:color w:val="auto"/>
                <w:lang w:val="en-US" w:eastAsia="zh-Han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1" w:hRule="atLeast"/>
          <w:jc w:val="center"/>
        </w:trPr>
        <w:tc>
          <w:tcPr>
            <w:tcW w:w="1126" w:type="dxa"/>
            <w:gridSpan w:val="2"/>
            <w:vMerge w:val="restart"/>
            <w:noWrap w:val="0"/>
            <w:vAlign w:val="center"/>
          </w:tcPr>
          <w:p>
            <w:pPr>
              <w:spacing w:before="0" w:after="0" w:line="0" w:lineRule="atLeast"/>
              <w:jc w:val="center"/>
              <w:rPr>
                <w:rFonts w:hint="default" w:ascii="宋体" w:hAnsi="宋体" w:eastAsia="宋体" w:cs="宋体"/>
                <w:color w:val="auto"/>
                <w:szCs w:val="21"/>
                <w:lang w:eastAsia="zh-Hans"/>
              </w:rPr>
            </w:pPr>
            <w:r>
              <w:rPr>
                <w:rFonts w:hint="eastAsia" w:ascii="宋体" w:hAnsi="宋体" w:cs="宋体"/>
                <w:color w:val="auto"/>
                <w:szCs w:val="21"/>
                <w:lang w:val="en-US" w:eastAsia="zh-Hans"/>
              </w:rPr>
              <w:t>商务招标</w:t>
            </w:r>
            <w:r>
              <w:rPr>
                <w:rFonts w:hint="default" w:ascii="宋体" w:hAnsi="宋体" w:cs="宋体"/>
                <w:color w:val="auto"/>
                <w:szCs w:val="21"/>
                <w:lang w:eastAsia="zh-Hans"/>
              </w:rPr>
              <w:t>（15</w:t>
            </w:r>
            <w:r>
              <w:rPr>
                <w:rFonts w:hint="eastAsia" w:ascii="宋体" w:hAnsi="宋体" w:cs="宋体"/>
                <w:color w:val="auto"/>
                <w:szCs w:val="21"/>
                <w:lang w:val="en-US" w:eastAsia="zh-Hans"/>
              </w:rPr>
              <w:t>分</w:t>
            </w:r>
            <w:r>
              <w:rPr>
                <w:rFonts w:hint="default" w:ascii="宋体" w:hAnsi="宋体" w:cs="宋体"/>
                <w:color w:val="auto"/>
                <w:szCs w:val="21"/>
                <w:lang w:eastAsia="zh-Hans"/>
              </w:rPr>
              <w:t>）</w:t>
            </w:r>
          </w:p>
        </w:tc>
        <w:tc>
          <w:tcPr>
            <w:tcW w:w="4492" w:type="dxa"/>
            <w:gridSpan w:val="2"/>
            <w:noWrap w:val="0"/>
            <w:vAlign w:val="center"/>
          </w:tcPr>
          <w:p>
            <w:pPr>
              <w:numPr>
                <w:ilvl w:val="0"/>
                <w:numId w:val="0"/>
              </w:numPr>
              <w:spacing w:before="0" w:after="0" w:line="0" w:lineRule="atLeast"/>
              <w:jc w:val="left"/>
              <w:rPr>
                <w:rFonts w:hint="default" w:ascii="宋体" w:hAnsi="宋体" w:cs="宋体"/>
                <w:color w:val="auto"/>
                <w:szCs w:val="21"/>
                <w:lang w:eastAsia="zh-Hans"/>
              </w:rPr>
            </w:pPr>
            <w:r>
              <w:rPr>
                <w:rFonts w:hint="default" w:ascii="宋体" w:hAnsi="宋体" w:cs="宋体"/>
                <w:color w:val="auto"/>
                <w:szCs w:val="21"/>
                <w:lang w:eastAsia="zh-Hans"/>
              </w:rPr>
              <w:t>1</w:t>
            </w:r>
            <w:r>
              <w:rPr>
                <w:rFonts w:hint="eastAsia" w:ascii="宋体" w:hAnsi="宋体" w:cs="宋体"/>
                <w:color w:val="auto"/>
                <w:szCs w:val="21"/>
                <w:lang w:val="en-US" w:eastAsia="zh-Hans"/>
              </w:rPr>
              <w:t>.公司资质</w:t>
            </w:r>
            <w:r>
              <w:rPr>
                <w:rFonts w:hint="default" w:ascii="宋体" w:hAnsi="宋体" w:cs="宋体"/>
                <w:color w:val="auto"/>
                <w:szCs w:val="21"/>
                <w:lang w:eastAsia="zh-Hans"/>
              </w:rPr>
              <w:t>：</w:t>
            </w:r>
            <w:r>
              <w:rPr>
                <w:rFonts w:hint="eastAsia" w:ascii="宋体" w:hAnsi="宋体" w:cs="宋体"/>
                <w:color w:val="auto"/>
                <w:szCs w:val="21"/>
                <w:lang w:val="en-US" w:eastAsia="zh-Hans"/>
              </w:rPr>
              <w:t>从投资人的公司规模</w:t>
            </w:r>
            <w:r>
              <w:rPr>
                <w:rFonts w:hint="default" w:ascii="宋体" w:hAnsi="宋体" w:cs="宋体"/>
                <w:color w:val="auto"/>
                <w:szCs w:val="21"/>
                <w:lang w:eastAsia="zh-Hans"/>
              </w:rPr>
              <w:t>、</w:t>
            </w:r>
            <w:r>
              <w:rPr>
                <w:rFonts w:hint="eastAsia" w:ascii="宋体" w:hAnsi="宋体" w:cs="宋体"/>
                <w:color w:val="auto"/>
                <w:szCs w:val="21"/>
                <w:lang w:val="en-US" w:eastAsia="zh-Hans"/>
              </w:rPr>
              <w:t>社会信誉</w:t>
            </w:r>
            <w:r>
              <w:rPr>
                <w:rFonts w:hint="default" w:ascii="宋体" w:hAnsi="宋体" w:cs="宋体"/>
                <w:color w:val="auto"/>
                <w:szCs w:val="21"/>
                <w:lang w:eastAsia="zh-Hans"/>
              </w:rPr>
              <w:t>、</w:t>
            </w:r>
            <w:r>
              <w:rPr>
                <w:rFonts w:hint="eastAsia" w:ascii="宋体" w:hAnsi="宋体" w:cs="宋体"/>
                <w:color w:val="auto"/>
                <w:szCs w:val="21"/>
                <w:lang w:val="en-US" w:eastAsia="zh-Hans"/>
              </w:rPr>
              <w:t>注册资本金等方面评分</w:t>
            </w:r>
            <w:r>
              <w:rPr>
                <w:rFonts w:hint="default" w:ascii="宋体" w:hAnsi="宋体" w:cs="宋体"/>
                <w:color w:val="auto"/>
                <w:szCs w:val="21"/>
                <w:lang w:eastAsia="zh-Hans"/>
              </w:rPr>
              <w:t xml:space="preserve">。                                                     </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5</w:t>
            </w:r>
          </w:p>
        </w:tc>
        <w:tc>
          <w:tcPr>
            <w:tcW w:w="1270" w:type="dxa"/>
            <w:noWrap w:val="0"/>
            <w:vAlign w:val="center"/>
          </w:tcPr>
          <w:p>
            <w:pPr>
              <w:spacing w:line="240" w:lineRule="atLeast"/>
              <w:ind w:firstLine="209" w:firstLineChars="104"/>
              <w:rPr>
                <w:rFonts w:hint="default" w:ascii="宋体" w:hAnsi="宋体" w:eastAsia="宋体" w:cs="宋体"/>
                <w:color w:val="auto"/>
                <w:lang w:eastAsia="zh-Hans"/>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98" w:hRule="atLeast"/>
          <w:jc w:val="center"/>
        </w:trPr>
        <w:tc>
          <w:tcPr>
            <w:tcW w:w="1126" w:type="dxa"/>
            <w:gridSpan w:val="2"/>
            <w:vMerge w:val="continue"/>
            <w:noWrap w:val="0"/>
            <w:vAlign w:val="center"/>
          </w:tcPr>
          <w:p>
            <w:pPr>
              <w:spacing w:before="0" w:after="0" w:line="0" w:lineRule="atLeast"/>
              <w:jc w:val="center"/>
              <w:rPr>
                <w:rFonts w:hint="eastAsia" w:ascii="宋体" w:hAnsi="宋体" w:cs="宋体"/>
                <w:color w:val="auto"/>
                <w:szCs w:val="21"/>
                <w:lang w:val="en-US" w:eastAsia="zh-Hans"/>
              </w:rPr>
            </w:pPr>
          </w:p>
        </w:tc>
        <w:tc>
          <w:tcPr>
            <w:tcW w:w="4492" w:type="dxa"/>
            <w:gridSpan w:val="2"/>
            <w:noWrap w:val="0"/>
            <w:vAlign w:val="center"/>
          </w:tcPr>
          <w:p>
            <w:pPr>
              <w:numPr>
                <w:ilvl w:val="0"/>
                <w:numId w:val="0"/>
              </w:numPr>
              <w:spacing w:before="0" w:after="0" w:line="0" w:lineRule="atLeast"/>
              <w:jc w:val="left"/>
              <w:rPr>
                <w:rFonts w:hint="default" w:ascii="宋体" w:hAnsi="宋体" w:cs="宋体"/>
                <w:color w:val="auto"/>
                <w:szCs w:val="21"/>
                <w:lang w:eastAsia="zh-Hans"/>
              </w:rPr>
            </w:pPr>
            <w:r>
              <w:rPr>
                <w:rFonts w:hint="default" w:ascii="宋体" w:hAnsi="宋体" w:cs="宋体"/>
                <w:color w:val="auto"/>
                <w:szCs w:val="21"/>
                <w:lang w:eastAsia="zh-Hans"/>
              </w:rPr>
              <w:t>2</w:t>
            </w:r>
            <w:r>
              <w:rPr>
                <w:rFonts w:hint="eastAsia" w:ascii="宋体" w:hAnsi="宋体" w:cs="宋体"/>
                <w:color w:val="auto"/>
                <w:szCs w:val="21"/>
                <w:lang w:val="en-US" w:eastAsia="zh-Hans"/>
              </w:rPr>
              <w:t>.行业经验</w:t>
            </w:r>
            <w:r>
              <w:rPr>
                <w:rFonts w:hint="default" w:ascii="宋体" w:hAnsi="宋体" w:cs="宋体"/>
                <w:color w:val="auto"/>
                <w:szCs w:val="21"/>
                <w:lang w:eastAsia="zh-Hans"/>
              </w:rPr>
              <w:t>：</w:t>
            </w:r>
            <w:r>
              <w:rPr>
                <w:rFonts w:hint="eastAsia" w:ascii="宋体" w:hAnsi="宋体" w:cs="宋体"/>
                <w:color w:val="auto"/>
                <w:szCs w:val="21"/>
                <w:lang w:val="en-US" w:eastAsia="zh-Hans"/>
              </w:rPr>
              <w:t>具备客服外包项目的相关经验</w:t>
            </w:r>
            <w:r>
              <w:rPr>
                <w:rFonts w:hint="default" w:ascii="宋体" w:hAnsi="宋体" w:cs="宋体"/>
                <w:color w:val="auto"/>
                <w:szCs w:val="21"/>
                <w:lang w:eastAsia="zh-Hans"/>
              </w:rPr>
              <w:t>，</w:t>
            </w:r>
            <w:r>
              <w:rPr>
                <w:rFonts w:hint="eastAsia" w:ascii="宋体" w:hAnsi="宋体" w:cs="宋体"/>
                <w:color w:val="auto"/>
                <w:szCs w:val="21"/>
                <w:lang w:val="en-US" w:eastAsia="zh-Hans"/>
              </w:rPr>
              <w:t>近期有从事客服中心外包业务经验</w:t>
            </w:r>
            <w:r>
              <w:rPr>
                <w:rFonts w:hint="default" w:ascii="宋体" w:hAnsi="宋体" w:cs="宋体"/>
                <w:color w:val="auto"/>
                <w:szCs w:val="21"/>
                <w:lang w:eastAsia="zh-Hans"/>
              </w:rPr>
              <w:t>。</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5</w:t>
            </w:r>
          </w:p>
        </w:tc>
        <w:tc>
          <w:tcPr>
            <w:tcW w:w="1270" w:type="dxa"/>
            <w:noWrap w:val="0"/>
            <w:vAlign w:val="center"/>
          </w:tcPr>
          <w:p>
            <w:pPr>
              <w:spacing w:line="240" w:lineRule="atLeast"/>
              <w:ind w:firstLine="209" w:firstLineChars="104"/>
              <w:rPr>
                <w:rFonts w:hint="eastAsia" w:ascii="宋体" w:hAnsi="宋体" w:cs="宋体"/>
                <w:color w:val="auto"/>
                <w:lang w:eastAsia="zh-CN"/>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1" w:hRule="atLeast"/>
          <w:jc w:val="center"/>
        </w:trPr>
        <w:tc>
          <w:tcPr>
            <w:tcW w:w="1126" w:type="dxa"/>
            <w:gridSpan w:val="2"/>
            <w:vMerge w:val="continue"/>
            <w:noWrap w:val="0"/>
            <w:vAlign w:val="center"/>
          </w:tcPr>
          <w:p>
            <w:pPr>
              <w:spacing w:before="0" w:after="0" w:line="0" w:lineRule="atLeast"/>
              <w:jc w:val="center"/>
              <w:rPr>
                <w:rFonts w:hint="default" w:ascii="宋体" w:hAnsi="宋体" w:eastAsia="宋体" w:cs="宋体"/>
                <w:color w:val="auto"/>
                <w:szCs w:val="21"/>
                <w:lang w:val="en-US" w:eastAsia="zh-Hans"/>
              </w:rPr>
            </w:pPr>
          </w:p>
        </w:tc>
        <w:tc>
          <w:tcPr>
            <w:tcW w:w="4492" w:type="dxa"/>
            <w:gridSpan w:val="2"/>
            <w:noWrap w:val="0"/>
            <w:vAlign w:val="center"/>
          </w:tcPr>
          <w:p>
            <w:pPr>
              <w:numPr>
                <w:ilvl w:val="0"/>
                <w:numId w:val="0"/>
              </w:numPr>
              <w:spacing w:before="0" w:after="0" w:line="0" w:lineRule="atLeast"/>
              <w:jc w:val="left"/>
              <w:rPr>
                <w:rFonts w:hint="default" w:ascii="宋体" w:hAnsi="宋体" w:eastAsia="宋体" w:cs="宋体"/>
                <w:color w:val="auto"/>
                <w:szCs w:val="21"/>
                <w:lang w:eastAsia="zh-Hans"/>
              </w:rPr>
            </w:pPr>
            <w:r>
              <w:rPr>
                <w:rFonts w:hint="default" w:ascii="宋体" w:hAnsi="宋体" w:cs="宋体"/>
                <w:color w:val="auto"/>
                <w:szCs w:val="21"/>
                <w:lang w:eastAsia="zh-Hans"/>
              </w:rPr>
              <w:t>3</w:t>
            </w:r>
            <w:r>
              <w:rPr>
                <w:rFonts w:hint="eastAsia" w:ascii="宋体" w:hAnsi="宋体" w:cs="宋体"/>
                <w:color w:val="auto"/>
                <w:szCs w:val="21"/>
                <w:lang w:val="en-US" w:eastAsia="zh-Hans"/>
              </w:rPr>
              <w:t>.项目业绩</w:t>
            </w:r>
            <w:r>
              <w:rPr>
                <w:rFonts w:hint="default" w:ascii="宋体" w:hAnsi="宋体" w:cs="宋体"/>
                <w:color w:val="auto"/>
                <w:szCs w:val="21"/>
                <w:lang w:eastAsia="zh-Hans"/>
              </w:rPr>
              <w:t>：</w:t>
            </w:r>
            <w:r>
              <w:rPr>
                <w:rFonts w:hint="eastAsia" w:ascii="宋体" w:hAnsi="宋体" w:cs="宋体"/>
                <w:color w:val="auto"/>
                <w:szCs w:val="21"/>
                <w:lang w:val="en-US" w:eastAsia="zh-Hans"/>
              </w:rPr>
              <w:t>完成同类项目的各项指标业绩</w:t>
            </w:r>
            <w:r>
              <w:rPr>
                <w:rFonts w:hint="default" w:ascii="宋体" w:hAnsi="宋体" w:cs="宋体"/>
                <w:color w:val="auto"/>
                <w:szCs w:val="21"/>
                <w:lang w:eastAsia="zh-Hans"/>
              </w:rPr>
              <w:t>。</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5</w:t>
            </w:r>
          </w:p>
        </w:tc>
        <w:tc>
          <w:tcPr>
            <w:tcW w:w="1270" w:type="dxa"/>
            <w:noWrap w:val="0"/>
            <w:vAlign w:val="center"/>
          </w:tcPr>
          <w:p>
            <w:pPr>
              <w:spacing w:line="240" w:lineRule="atLeast"/>
              <w:ind w:firstLine="209" w:firstLineChars="104"/>
              <w:rPr>
                <w:rFonts w:hint="eastAsia" w:ascii="宋体" w:hAnsi="宋体" w:cs="宋体"/>
                <w:color w:val="auto"/>
                <w:lang w:eastAsia="zh-CN"/>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41" w:hRule="atLeast"/>
          <w:jc w:val="center"/>
        </w:trPr>
        <w:tc>
          <w:tcPr>
            <w:tcW w:w="1126" w:type="dxa"/>
            <w:gridSpan w:val="2"/>
            <w:vMerge w:val="restart"/>
            <w:noWrap w:val="0"/>
            <w:vAlign w:val="center"/>
          </w:tcPr>
          <w:p>
            <w:pPr>
              <w:spacing w:before="0" w:after="0" w:line="0" w:lineRule="atLeast"/>
              <w:jc w:val="center"/>
              <w:rPr>
                <w:rFonts w:hint="default" w:ascii="宋体" w:hAnsi="宋体" w:eastAsia="宋体" w:cs="宋体"/>
                <w:color w:val="auto"/>
                <w:szCs w:val="21"/>
                <w:lang w:eastAsia="zh-Hans"/>
              </w:rPr>
            </w:pPr>
            <w:r>
              <w:rPr>
                <w:rFonts w:hint="eastAsia" w:ascii="宋体" w:hAnsi="宋体" w:cs="宋体"/>
                <w:color w:val="auto"/>
                <w:szCs w:val="21"/>
                <w:lang w:val="en-US" w:eastAsia="zh-Hans"/>
              </w:rPr>
              <w:t>服务指标</w:t>
            </w:r>
            <w:r>
              <w:rPr>
                <w:rFonts w:hint="default" w:ascii="宋体" w:hAnsi="宋体" w:cs="宋体"/>
                <w:color w:val="auto"/>
                <w:szCs w:val="21"/>
                <w:lang w:eastAsia="zh-Hans"/>
              </w:rPr>
              <w:t>（</w:t>
            </w:r>
            <w:r>
              <w:rPr>
                <w:rFonts w:hint="eastAsia" w:ascii="宋体" w:hAnsi="宋体" w:cs="宋体"/>
                <w:color w:val="auto"/>
                <w:szCs w:val="21"/>
                <w:lang w:val="en-US" w:eastAsia="zh-CN"/>
              </w:rPr>
              <w:t>5</w:t>
            </w:r>
            <w:r>
              <w:rPr>
                <w:rFonts w:hint="default" w:ascii="宋体" w:hAnsi="宋体" w:cs="宋体"/>
                <w:color w:val="auto"/>
                <w:szCs w:val="21"/>
                <w:lang w:eastAsia="zh-Hans"/>
              </w:rPr>
              <w:t>5</w:t>
            </w:r>
            <w:r>
              <w:rPr>
                <w:rFonts w:hint="eastAsia" w:ascii="宋体" w:hAnsi="宋体" w:cs="宋体"/>
                <w:color w:val="auto"/>
                <w:szCs w:val="21"/>
                <w:lang w:val="en-US" w:eastAsia="zh-Hans"/>
              </w:rPr>
              <w:t>分</w:t>
            </w:r>
            <w:r>
              <w:rPr>
                <w:rFonts w:hint="default" w:ascii="宋体" w:hAnsi="宋体" w:cs="宋体"/>
                <w:color w:val="auto"/>
                <w:szCs w:val="21"/>
                <w:lang w:eastAsia="zh-Hans"/>
              </w:rPr>
              <w:t>）</w:t>
            </w:r>
          </w:p>
        </w:tc>
        <w:tc>
          <w:tcPr>
            <w:tcW w:w="4492" w:type="dxa"/>
            <w:gridSpan w:val="2"/>
            <w:noWrap w:val="0"/>
            <w:vAlign w:val="center"/>
          </w:tcPr>
          <w:p>
            <w:pPr>
              <w:spacing w:before="0" w:after="0" w:line="0" w:lineRule="atLeast"/>
              <w:jc w:val="both"/>
              <w:rPr>
                <w:rFonts w:hint="eastAsia" w:ascii="宋体" w:hAnsi="宋体" w:cs="宋体"/>
                <w:color w:val="auto"/>
                <w:szCs w:val="21"/>
                <w:lang w:val="en-US" w:eastAsia="zh-Hans"/>
              </w:rPr>
            </w:pPr>
            <w:r>
              <w:rPr>
                <w:rFonts w:hint="default" w:ascii="宋体" w:hAnsi="宋体" w:cs="宋体"/>
                <w:color w:val="auto"/>
                <w:szCs w:val="21"/>
                <w:lang w:eastAsia="zh-Hans"/>
              </w:rPr>
              <w:t>1</w:t>
            </w:r>
            <w:r>
              <w:rPr>
                <w:rFonts w:hint="eastAsia" w:ascii="宋体" w:hAnsi="宋体" w:cs="宋体"/>
                <w:color w:val="auto"/>
                <w:szCs w:val="21"/>
                <w:lang w:val="en-US" w:eastAsia="zh-Hans"/>
              </w:rPr>
              <w:t>.运营方案制定</w:t>
            </w:r>
            <w:r>
              <w:rPr>
                <w:rFonts w:hint="default" w:ascii="宋体" w:hAnsi="宋体" w:cs="宋体"/>
                <w:color w:val="auto"/>
                <w:szCs w:val="21"/>
                <w:lang w:eastAsia="zh-Hans"/>
              </w:rPr>
              <w:t>：</w:t>
            </w:r>
            <w:r>
              <w:rPr>
                <w:rFonts w:hint="eastAsia" w:ascii="宋体" w:hAnsi="宋体" w:cs="宋体"/>
                <w:color w:val="auto"/>
                <w:szCs w:val="21"/>
                <w:lang w:val="en-US" w:eastAsia="zh-Hans"/>
              </w:rPr>
              <w:t>从对项目的理解</w:t>
            </w:r>
            <w:r>
              <w:rPr>
                <w:rFonts w:hint="default" w:ascii="宋体" w:hAnsi="宋体" w:cs="宋体"/>
                <w:color w:val="auto"/>
                <w:szCs w:val="21"/>
                <w:lang w:eastAsia="zh-Hans"/>
              </w:rPr>
              <w:t>、</w:t>
            </w:r>
            <w:r>
              <w:rPr>
                <w:rFonts w:hint="eastAsia" w:ascii="宋体" w:hAnsi="宋体" w:cs="宋体"/>
                <w:color w:val="auto"/>
                <w:szCs w:val="21"/>
                <w:lang w:val="en-US" w:eastAsia="zh-Hans"/>
              </w:rPr>
              <w:t>总体管理思想</w:t>
            </w:r>
            <w:r>
              <w:rPr>
                <w:rFonts w:hint="default" w:ascii="宋体" w:hAnsi="宋体" w:cs="宋体"/>
                <w:color w:val="auto"/>
                <w:szCs w:val="21"/>
                <w:lang w:eastAsia="zh-Hans"/>
              </w:rPr>
              <w:t>、</w:t>
            </w:r>
            <w:r>
              <w:rPr>
                <w:rFonts w:hint="eastAsia" w:ascii="宋体" w:hAnsi="宋体" w:cs="宋体"/>
                <w:color w:val="auto"/>
                <w:szCs w:val="21"/>
                <w:lang w:val="en-US" w:eastAsia="zh-Hans"/>
              </w:rPr>
              <w:t>经营性符合相关规范标准情况和所提供的保证项目实施计划措施的科学性</w:t>
            </w:r>
            <w:r>
              <w:rPr>
                <w:rFonts w:hint="default" w:ascii="宋体" w:hAnsi="宋体" w:cs="宋体"/>
                <w:color w:val="auto"/>
                <w:szCs w:val="21"/>
                <w:lang w:eastAsia="zh-Hans"/>
              </w:rPr>
              <w:t>、</w:t>
            </w:r>
            <w:r>
              <w:rPr>
                <w:rFonts w:hint="eastAsia" w:ascii="宋体" w:hAnsi="宋体" w:cs="宋体"/>
                <w:color w:val="auto"/>
                <w:szCs w:val="21"/>
                <w:lang w:val="en-US" w:eastAsia="zh-Hans"/>
              </w:rPr>
              <w:t>可行性及满足议价文件要求的程度等方面评价</w:t>
            </w:r>
            <w:r>
              <w:rPr>
                <w:rFonts w:hint="default" w:ascii="宋体" w:hAnsi="宋体" w:cs="宋体"/>
                <w:color w:val="auto"/>
                <w:szCs w:val="21"/>
                <w:lang w:eastAsia="zh-Hans"/>
              </w:rPr>
              <w:t>。</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15</w:t>
            </w:r>
          </w:p>
        </w:tc>
        <w:tc>
          <w:tcPr>
            <w:tcW w:w="1270" w:type="dxa"/>
            <w:noWrap w:val="0"/>
            <w:vAlign w:val="center"/>
          </w:tcPr>
          <w:p>
            <w:pPr>
              <w:spacing w:line="240" w:lineRule="atLeast"/>
              <w:ind w:firstLine="209" w:firstLineChars="104"/>
              <w:rPr>
                <w:rFonts w:hint="eastAsia" w:ascii="宋体" w:hAnsi="宋体" w:cs="宋体"/>
                <w:color w:val="auto"/>
                <w:lang w:eastAsia="zh-CN"/>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2" w:hRule="atLeast"/>
          <w:jc w:val="center"/>
        </w:trPr>
        <w:tc>
          <w:tcPr>
            <w:tcW w:w="1126" w:type="dxa"/>
            <w:gridSpan w:val="2"/>
            <w:vMerge w:val="continue"/>
            <w:noWrap w:val="0"/>
            <w:vAlign w:val="center"/>
          </w:tcPr>
          <w:p>
            <w:pPr>
              <w:spacing w:before="0" w:after="0" w:line="0" w:lineRule="atLeast"/>
              <w:jc w:val="center"/>
              <w:rPr>
                <w:rFonts w:hint="eastAsia" w:ascii="宋体" w:hAnsi="宋体" w:cs="宋体"/>
                <w:color w:val="auto"/>
                <w:szCs w:val="21"/>
                <w:lang w:val="en-US" w:eastAsia="zh-Hans"/>
              </w:rPr>
            </w:pPr>
          </w:p>
        </w:tc>
        <w:tc>
          <w:tcPr>
            <w:tcW w:w="4492" w:type="dxa"/>
            <w:gridSpan w:val="2"/>
            <w:noWrap w:val="0"/>
            <w:vAlign w:val="center"/>
          </w:tcPr>
          <w:p>
            <w:pPr>
              <w:spacing w:before="0" w:after="0" w:line="0" w:lineRule="atLeast"/>
              <w:jc w:val="both"/>
              <w:rPr>
                <w:rFonts w:hint="default" w:ascii="宋体" w:hAnsi="宋体" w:cs="宋体"/>
                <w:color w:val="auto"/>
                <w:szCs w:val="21"/>
                <w:lang w:eastAsia="zh-Hans"/>
              </w:rPr>
            </w:pPr>
            <w:r>
              <w:rPr>
                <w:rFonts w:hint="default" w:ascii="宋体" w:hAnsi="宋体" w:cs="宋体"/>
                <w:color w:val="auto"/>
                <w:szCs w:val="21"/>
                <w:lang w:eastAsia="zh-Hans"/>
              </w:rPr>
              <w:t>2</w:t>
            </w:r>
            <w:r>
              <w:rPr>
                <w:rFonts w:hint="eastAsia" w:ascii="宋体" w:hAnsi="宋体" w:cs="宋体"/>
                <w:color w:val="auto"/>
                <w:szCs w:val="21"/>
                <w:lang w:val="en-US" w:eastAsia="zh-Hans"/>
              </w:rPr>
              <w:t>.运营管理能力</w:t>
            </w:r>
            <w:r>
              <w:rPr>
                <w:rFonts w:hint="default" w:ascii="宋体" w:hAnsi="宋体" w:cs="宋体"/>
                <w:color w:val="auto"/>
                <w:szCs w:val="21"/>
                <w:lang w:eastAsia="zh-Hans"/>
              </w:rPr>
              <w:t>：</w:t>
            </w:r>
            <w:r>
              <w:rPr>
                <w:rFonts w:hint="eastAsia" w:ascii="宋体" w:hAnsi="宋体" w:cs="宋体"/>
                <w:color w:val="auto"/>
                <w:szCs w:val="21"/>
                <w:lang w:val="en-US" w:eastAsia="zh-Hans"/>
              </w:rPr>
              <w:t>从对整体运营管理体系的规划执行及相应管理制度和规范的完备性</w:t>
            </w:r>
            <w:r>
              <w:rPr>
                <w:rFonts w:hint="default" w:ascii="宋体" w:hAnsi="宋体" w:cs="宋体"/>
                <w:color w:val="auto"/>
                <w:szCs w:val="21"/>
                <w:lang w:eastAsia="zh-Hans"/>
              </w:rPr>
              <w:t>、</w:t>
            </w:r>
            <w:r>
              <w:rPr>
                <w:rFonts w:hint="eastAsia" w:ascii="宋体" w:hAnsi="宋体" w:cs="宋体"/>
                <w:color w:val="auto"/>
                <w:szCs w:val="21"/>
                <w:lang w:val="en-US" w:eastAsia="zh-Hans"/>
              </w:rPr>
              <w:t>可行性等方面进行评分</w:t>
            </w:r>
            <w:r>
              <w:rPr>
                <w:rFonts w:hint="default" w:ascii="宋体" w:hAnsi="宋体" w:cs="宋体"/>
                <w:color w:val="auto"/>
                <w:szCs w:val="21"/>
                <w:lang w:eastAsia="zh-Hans"/>
              </w:rPr>
              <w:t>。</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15</w:t>
            </w:r>
          </w:p>
        </w:tc>
        <w:tc>
          <w:tcPr>
            <w:tcW w:w="1270" w:type="dxa"/>
            <w:noWrap w:val="0"/>
            <w:vAlign w:val="center"/>
          </w:tcPr>
          <w:p>
            <w:pPr>
              <w:spacing w:line="240" w:lineRule="atLeast"/>
              <w:ind w:firstLine="209" w:firstLineChars="104"/>
              <w:rPr>
                <w:rFonts w:hint="eastAsia" w:ascii="宋体" w:hAnsi="宋体" w:cs="宋体"/>
                <w:color w:val="auto"/>
                <w:lang w:eastAsia="zh-CN"/>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77" w:hRule="atLeast"/>
          <w:jc w:val="center"/>
        </w:trPr>
        <w:tc>
          <w:tcPr>
            <w:tcW w:w="1126" w:type="dxa"/>
            <w:gridSpan w:val="2"/>
            <w:vMerge w:val="continue"/>
            <w:noWrap w:val="0"/>
            <w:vAlign w:val="center"/>
          </w:tcPr>
          <w:p>
            <w:pPr>
              <w:spacing w:before="0" w:after="0" w:line="0" w:lineRule="atLeast"/>
              <w:jc w:val="center"/>
              <w:rPr>
                <w:rFonts w:hint="eastAsia" w:ascii="宋体" w:hAnsi="宋体" w:cs="宋体"/>
                <w:color w:val="auto"/>
                <w:szCs w:val="21"/>
                <w:lang w:val="en-US" w:eastAsia="zh-Hans"/>
              </w:rPr>
            </w:pPr>
          </w:p>
        </w:tc>
        <w:tc>
          <w:tcPr>
            <w:tcW w:w="4492" w:type="dxa"/>
            <w:gridSpan w:val="2"/>
            <w:noWrap w:val="0"/>
            <w:vAlign w:val="center"/>
          </w:tcPr>
          <w:p>
            <w:pPr>
              <w:spacing w:before="0" w:after="0" w:line="0" w:lineRule="atLeast"/>
              <w:jc w:val="both"/>
              <w:rPr>
                <w:rFonts w:hint="default" w:ascii="宋体" w:hAnsi="宋体" w:cs="宋体"/>
                <w:color w:val="auto"/>
                <w:szCs w:val="21"/>
                <w:lang w:eastAsia="zh-Hans"/>
              </w:rPr>
            </w:pPr>
            <w:r>
              <w:rPr>
                <w:rFonts w:hint="default" w:ascii="宋体" w:hAnsi="宋体" w:cs="宋体"/>
                <w:color w:val="auto"/>
                <w:szCs w:val="21"/>
                <w:lang w:eastAsia="zh-Hans"/>
              </w:rPr>
              <w:t>3</w:t>
            </w:r>
            <w:r>
              <w:rPr>
                <w:rFonts w:hint="eastAsia" w:ascii="宋体" w:hAnsi="宋体" w:cs="宋体"/>
                <w:color w:val="auto"/>
                <w:szCs w:val="21"/>
                <w:lang w:val="en-US" w:eastAsia="zh-Hans"/>
              </w:rPr>
              <w:t>.质量控制能力</w:t>
            </w:r>
            <w:r>
              <w:rPr>
                <w:rFonts w:hint="default" w:ascii="宋体" w:hAnsi="宋体" w:cs="宋体"/>
                <w:color w:val="auto"/>
                <w:szCs w:val="21"/>
                <w:lang w:eastAsia="zh-Hans"/>
              </w:rPr>
              <w:t>：</w:t>
            </w:r>
            <w:r>
              <w:rPr>
                <w:rFonts w:hint="eastAsia" w:ascii="宋体" w:hAnsi="宋体" w:cs="宋体"/>
                <w:color w:val="auto"/>
                <w:szCs w:val="21"/>
                <w:lang w:val="en-US" w:eastAsia="zh-Hans"/>
              </w:rPr>
              <w:t>从对服务质量管理保障体系</w:t>
            </w:r>
            <w:r>
              <w:rPr>
                <w:rFonts w:hint="default" w:ascii="宋体" w:hAnsi="宋体" w:cs="宋体"/>
                <w:color w:val="auto"/>
                <w:szCs w:val="21"/>
                <w:lang w:eastAsia="zh-Hans"/>
              </w:rPr>
              <w:t>、</w:t>
            </w:r>
            <w:r>
              <w:rPr>
                <w:rFonts w:hint="eastAsia" w:ascii="宋体" w:hAnsi="宋体" w:cs="宋体"/>
                <w:color w:val="auto"/>
                <w:szCs w:val="21"/>
                <w:lang w:val="en-US" w:eastAsia="zh-Hans"/>
              </w:rPr>
              <w:t>质量评价和检查标准</w:t>
            </w:r>
            <w:r>
              <w:rPr>
                <w:rFonts w:hint="default" w:ascii="宋体" w:hAnsi="宋体" w:cs="宋体"/>
                <w:color w:val="auto"/>
                <w:szCs w:val="21"/>
                <w:lang w:eastAsia="zh-Hans"/>
              </w:rPr>
              <w:t>、</w:t>
            </w:r>
            <w:r>
              <w:rPr>
                <w:rFonts w:hint="eastAsia" w:ascii="宋体" w:hAnsi="宋体" w:cs="宋体"/>
                <w:color w:val="auto"/>
                <w:szCs w:val="21"/>
                <w:lang w:val="en-US" w:eastAsia="zh-Hans"/>
              </w:rPr>
              <w:t>实施措施的科学性</w:t>
            </w:r>
            <w:r>
              <w:rPr>
                <w:rFonts w:hint="default" w:ascii="宋体" w:hAnsi="宋体" w:cs="宋体"/>
                <w:color w:val="auto"/>
                <w:szCs w:val="21"/>
                <w:lang w:eastAsia="zh-Hans"/>
              </w:rPr>
              <w:t>、</w:t>
            </w:r>
            <w:r>
              <w:rPr>
                <w:rFonts w:hint="eastAsia" w:ascii="宋体" w:hAnsi="宋体" w:cs="宋体"/>
                <w:color w:val="auto"/>
                <w:szCs w:val="21"/>
                <w:lang w:val="en-US" w:eastAsia="zh-Hans"/>
              </w:rPr>
              <w:t>合理性和有效性等方面评分</w:t>
            </w:r>
            <w:r>
              <w:rPr>
                <w:rFonts w:hint="default" w:ascii="宋体" w:hAnsi="宋体" w:cs="宋体"/>
                <w:color w:val="auto"/>
                <w:szCs w:val="21"/>
                <w:lang w:eastAsia="zh-Hans"/>
              </w:rPr>
              <w:t>。</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10</w:t>
            </w:r>
          </w:p>
        </w:tc>
        <w:tc>
          <w:tcPr>
            <w:tcW w:w="1270" w:type="dxa"/>
            <w:noWrap w:val="0"/>
            <w:vAlign w:val="center"/>
          </w:tcPr>
          <w:p>
            <w:pPr>
              <w:spacing w:line="240" w:lineRule="atLeast"/>
              <w:ind w:firstLine="209" w:firstLineChars="104"/>
              <w:rPr>
                <w:rFonts w:hint="eastAsia" w:ascii="宋体" w:hAnsi="宋体" w:cs="宋体"/>
                <w:color w:val="auto"/>
                <w:lang w:eastAsia="zh-CN"/>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2" w:hRule="atLeast"/>
          <w:jc w:val="center"/>
        </w:trPr>
        <w:tc>
          <w:tcPr>
            <w:tcW w:w="1126" w:type="dxa"/>
            <w:gridSpan w:val="2"/>
            <w:vMerge w:val="continue"/>
            <w:noWrap w:val="0"/>
            <w:vAlign w:val="center"/>
          </w:tcPr>
          <w:p>
            <w:pPr>
              <w:spacing w:before="0" w:after="0" w:line="0" w:lineRule="atLeast"/>
              <w:jc w:val="center"/>
              <w:rPr>
                <w:rFonts w:hint="default" w:ascii="宋体" w:hAnsi="宋体" w:eastAsia="宋体" w:cs="宋体"/>
                <w:color w:val="auto"/>
                <w:szCs w:val="21"/>
                <w:lang w:val="en-US" w:eastAsia="zh-Hans"/>
              </w:rPr>
            </w:pPr>
          </w:p>
        </w:tc>
        <w:tc>
          <w:tcPr>
            <w:tcW w:w="4492" w:type="dxa"/>
            <w:gridSpan w:val="2"/>
            <w:noWrap w:val="0"/>
            <w:vAlign w:val="center"/>
          </w:tcPr>
          <w:p>
            <w:pPr>
              <w:spacing w:before="0" w:after="0" w:line="0" w:lineRule="atLeast"/>
              <w:jc w:val="both"/>
              <w:rPr>
                <w:rFonts w:hint="default" w:ascii="宋体" w:hAnsi="宋体" w:eastAsia="宋体" w:cs="宋体"/>
                <w:color w:val="auto"/>
                <w:szCs w:val="21"/>
                <w:lang w:eastAsia="zh-Hans"/>
              </w:rPr>
            </w:pPr>
            <w:r>
              <w:rPr>
                <w:rFonts w:hint="default" w:ascii="宋体" w:hAnsi="宋体" w:cs="宋体"/>
                <w:color w:val="auto"/>
                <w:szCs w:val="21"/>
                <w:lang w:eastAsia="zh-Hans"/>
              </w:rPr>
              <w:t>4、</w:t>
            </w:r>
            <w:r>
              <w:rPr>
                <w:rFonts w:hint="eastAsia" w:ascii="宋体" w:hAnsi="宋体" w:cs="宋体"/>
                <w:color w:val="auto"/>
                <w:szCs w:val="21"/>
                <w:lang w:val="en-US" w:eastAsia="zh-Hans"/>
              </w:rPr>
              <w:t>团队建设风险防控能力</w:t>
            </w:r>
            <w:r>
              <w:rPr>
                <w:rFonts w:hint="default" w:ascii="宋体" w:hAnsi="宋体" w:cs="宋体"/>
                <w:color w:val="auto"/>
                <w:szCs w:val="21"/>
                <w:lang w:eastAsia="zh-Hans"/>
              </w:rPr>
              <w:t>：</w:t>
            </w:r>
            <w:r>
              <w:rPr>
                <w:rFonts w:hint="eastAsia" w:ascii="宋体" w:hAnsi="宋体" w:cs="宋体"/>
                <w:color w:val="auto"/>
                <w:szCs w:val="21"/>
                <w:lang w:val="en-US" w:eastAsia="zh-Hans"/>
              </w:rPr>
              <w:t>从对人员职业道德</w:t>
            </w:r>
            <w:r>
              <w:rPr>
                <w:rFonts w:hint="default" w:ascii="宋体" w:hAnsi="宋体" w:cs="宋体"/>
                <w:color w:val="auto"/>
                <w:szCs w:val="21"/>
                <w:lang w:eastAsia="zh-Hans"/>
              </w:rPr>
              <w:t>、</w:t>
            </w:r>
            <w:r>
              <w:rPr>
                <w:rFonts w:hint="eastAsia" w:ascii="宋体" w:hAnsi="宋体" w:cs="宋体"/>
                <w:color w:val="auto"/>
                <w:szCs w:val="21"/>
                <w:lang w:val="en-US" w:eastAsia="zh-Hans"/>
              </w:rPr>
              <w:t>业务操作等风险防控的内部合规制度和手段</w:t>
            </w:r>
            <w:r>
              <w:rPr>
                <w:rFonts w:hint="default" w:ascii="宋体" w:hAnsi="宋体" w:cs="宋体"/>
                <w:color w:val="auto"/>
                <w:szCs w:val="21"/>
                <w:lang w:eastAsia="zh-Hans"/>
              </w:rPr>
              <w:t>，</w:t>
            </w:r>
            <w:r>
              <w:rPr>
                <w:rFonts w:hint="eastAsia" w:ascii="宋体" w:hAnsi="宋体" w:cs="宋体"/>
                <w:color w:val="auto"/>
                <w:szCs w:val="21"/>
                <w:lang w:val="en-US" w:eastAsia="zh-Hans"/>
              </w:rPr>
              <w:t>抵御风险的应急预案及措施等方面评分</w:t>
            </w:r>
            <w:r>
              <w:rPr>
                <w:rFonts w:hint="default" w:ascii="宋体" w:hAnsi="宋体" w:cs="宋体"/>
                <w:color w:val="auto"/>
                <w:szCs w:val="21"/>
                <w:lang w:eastAsia="zh-Hans"/>
              </w:rPr>
              <w:t>。</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15</w:t>
            </w:r>
          </w:p>
        </w:tc>
        <w:tc>
          <w:tcPr>
            <w:tcW w:w="1270" w:type="dxa"/>
            <w:noWrap w:val="0"/>
            <w:vAlign w:val="center"/>
          </w:tcPr>
          <w:p>
            <w:pPr>
              <w:spacing w:line="240" w:lineRule="atLeast"/>
              <w:ind w:firstLine="209" w:firstLineChars="104"/>
              <w:rPr>
                <w:rFonts w:hint="eastAsia" w:ascii="宋体" w:hAnsi="宋体" w:cs="宋体"/>
                <w:color w:val="auto"/>
                <w:lang w:eastAsia="zh-CN"/>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47" w:hRule="atLeast"/>
          <w:jc w:val="center"/>
        </w:trPr>
        <w:tc>
          <w:tcPr>
            <w:tcW w:w="1126" w:type="dxa"/>
            <w:gridSpan w:val="2"/>
            <w:noWrap w:val="0"/>
            <w:vAlign w:val="center"/>
          </w:tcPr>
          <w:p>
            <w:pPr>
              <w:spacing w:before="0" w:after="0" w:line="0" w:lineRule="atLeast"/>
              <w:jc w:val="center"/>
              <w:rPr>
                <w:rFonts w:hint="default" w:ascii="宋体" w:hAnsi="宋体" w:eastAsia="宋体" w:cs="宋体"/>
                <w:color w:val="auto"/>
                <w:szCs w:val="21"/>
                <w:lang w:eastAsia="zh-Hans"/>
              </w:rPr>
            </w:pPr>
            <w:r>
              <w:rPr>
                <w:rFonts w:hint="eastAsia" w:ascii="宋体" w:hAnsi="宋体" w:cs="宋体"/>
                <w:color w:val="auto"/>
                <w:szCs w:val="21"/>
                <w:lang w:val="en-US" w:eastAsia="zh-Hans"/>
              </w:rPr>
              <w:t>价格指标</w:t>
            </w:r>
            <w:r>
              <w:rPr>
                <w:rFonts w:hint="default" w:ascii="宋体" w:hAnsi="宋体" w:cs="宋体"/>
                <w:color w:val="auto"/>
                <w:szCs w:val="21"/>
                <w:lang w:eastAsia="zh-Hans"/>
              </w:rPr>
              <w:t>（30</w:t>
            </w:r>
            <w:r>
              <w:rPr>
                <w:rFonts w:hint="eastAsia" w:ascii="宋体" w:hAnsi="宋体" w:cs="宋体"/>
                <w:color w:val="auto"/>
                <w:szCs w:val="21"/>
                <w:lang w:val="en-US" w:eastAsia="zh-Hans"/>
              </w:rPr>
              <w:t>分</w:t>
            </w:r>
            <w:r>
              <w:rPr>
                <w:rFonts w:hint="default" w:ascii="宋体" w:hAnsi="宋体" w:cs="宋体"/>
                <w:color w:val="auto"/>
                <w:szCs w:val="21"/>
                <w:lang w:eastAsia="zh-Hans"/>
              </w:rPr>
              <w:t>）</w:t>
            </w:r>
          </w:p>
        </w:tc>
        <w:tc>
          <w:tcPr>
            <w:tcW w:w="4492" w:type="dxa"/>
            <w:gridSpan w:val="2"/>
            <w:noWrap w:val="0"/>
            <w:vAlign w:val="center"/>
          </w:tcPr>
          <w:p>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报价与评标基准价一致得标准分，每比评标基准价高一个百分点减2分，每低一个百分点减1分，减完为止。</w:t>
            </w:r>
          </w:p>
          <w:p>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注：当有效报价＞20家时,去掉四个最高和四个最低报价后取所有有效报价的平均值做为评标基准价费率；</w:t>
            </w:r>
          </w:p>
          <w:p>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当有效报价＞10、≤20家时，去掉两个最高和两个最低报价后取所有有效报价的平均值做为评标基准价费率；当有效报价＞5家、≤10家，去掉一个最高和一个最低后取所有有效报价的平均值做为评标基准价费率；</w:t>
            </w:r>
          </w:p>
          <w:p>
            <w:pPr>
              <w:spacing w:before="0" w:after="0" w:line="0" w:lineRule="atLeast"/>
              <w:jc w:val="left"/>
              <w:rPr>
                <w:rFonts w:hint="default" w:ascii="宋体" w:hAnsi="宋体" w:eastAsia="宋体" w:cs="宋体"/>
                <w:color w:val="auto"/>
                <w:szCs w:val="21"/>
                <w:lang w:eastAsia="zh-Hans"/>
              </w:rPr>
            </w:pPr>
            <w:r>
              <w:rPr>
                <w:rFonts w:hint="eastAsia" w:ascii="宋体" w:hAnsi="宋体" w:cs="宋体"/>
                <w:color w:val="auto"/>
                <w:szCs w:val="21"/>
                <w:lang w:eastAsia="zh-Hans"/>
              </w:rPr>
              <w:t>当有效报价≤5家时，取所有有效报价的平均值做为评标基准价费率。</w:t>
            </w:r>
          </w:p>
        </w:tc>
        <w:tc>
          <w:tcPr>
            <w:tcW w:w="1063" w:type="dxa"/>
            <w:noWrap w:val="0"/>
            <w:vAlign w:val="center"/>
          </w:tcPr>
          <w:p>
            <w:pPr>
              <w:spacing w:line="240" w:lineRule="atLeast"/>
              <w:ind w:firstLine="410" w:firstLineChars="204"/>
              <w:jc w:val="both"/>
              <w:rPr>
                <w:rFonts w:hint="default" w:ascii="宋体" w:hAnsi="宋体" w:cs="宋体"/>
                <w:color w:val="auto"/>
                <w:lang w:eastAsia="zh-CN"/>
              </w:rPr>
            </w:pPr>
            <w:r>
              <w:rPr>
                <w:rFonts w:hint="default" w:ascii="宋体" w:hAnsi="宋体" w:cs="宋体"/>
                <w:color w:val="auto"/>
                <w:lang w:eastAsia="zh-CN"/>
              </w:rPr>
              <w:t>30</w:t>
            </w:r>
          </w:p>
        </w:tc>
        <w:tc>
          <w:tcPr>
            <w:tcW w:w="1270" w:type="dxa"/>
            <w:noWrap w:val="0"/>
            <w:vAlign w:val="center"/>
          </w:tcPr>
          <w:p>
            <w:pPr>
              <w:spacing w:line="240" w:lineRule="atLeast"/>
              <w:ind w:firstLine="209" w:firstLineChars="104"/>
              <w:rPr>
                <w:rFonts w:hint="eastAsia" w:ascii="宋体" w:hAnsi="宋体" w:cs="宋体"/>
                <w:color w:val="auto"/>
                <w:lang w:eastAsia="zh-CN"/>
              </w:rPr>
            </w:pPr>
          </w:p>
        </w:tc>
        <w:tc>
          <w:tcPr>
            <w:tcW w:w="1367" w:type="dxa"/>
            <w:gridSpan w:val="2"/>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3" w:hRule="atLeast"/>
          <w:jc w:val="center"/>
        </w:trPr>
        <w:tc>
          <w:tcPr>
            <w:tcW w:w="5618" w:type="dxa"/>
            <w:gridSpan w:val="4"/>
            <w:noWrap w:val="0"/>
            <w:vAlign w:val="center"/>
          </w:tcPr>
          <w:p>
            <w:pPr>
              <w:spacing w:before="0" w:after="0" w:line="0" w:lineRule="atLeast"/>
              <w:ind w:firstLine="2814" w:firstLineChars="1400"/>
              <w:jc w:val="both"/>
              <w:rPr>
                <w:rFonts w:hint="default" w:ascii="宋体" w:hAnsi="宋体" w:eastAsia="宋体" w:cs="宋体"/>
                <w:color w:val="auto"/>
                <w:szCs w:val="21"/>
                <w:lang w:val="en-US" w:eastAsia="zh-Hans"/>
              </w:rPr>
            </w:pPr>
            <w:r>
              <w:rPr>
                <w:rFonts w:hint="eastAsia" w:ascii="宋体" w:hAnsi="宋体" w:cs="宋体"/>
                <w:color w:val="auto"/>
                <w:szCs w:val="21"/>
                <w:lang w:val="en-US" w:eastAsia="zh-Hans"/>
              </w:rPr>
              <w:t>评分合计</w:t>
            </w:r>
          </w:p>
        </w:tc>
        <w:tc>
          <w:tcPr>
            <w:tcW w:w="3700" w:type="dxa"/>
            <w:gridSpan w:val="4"/>
            <w:noWrap w:val="0"/>
            <w:vAlign w:val="center"/>
          </w:tcPr>
          <w:p>
            <w:pPr>
              <w:spacing w:line="240" w:lineRule="atLeast"/>
              <w:ind w:firstLine="209" w:firstLineChars="104"/>
              <w:rPr>
                <w:rFonts w:hint="eastAsia" w:ascii="宋体" w:hAnsi="宋体" w:cs="宋体"/>
                <w:color w:val="auto"/>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12" w:type="dxa"/>
          <w:trHeight w:val="1796" w:hRule="atLeast"/>
          <w:jc w:val="center"/>
        </w:trPr>
        <w:tc>
          <w:tcPr>
            <w:tcW w:w="528" w:type="dxa"/>
            <w:noWrap w:val="0"/>
            <w:vAlign w:val="center"/>
          </w:tcPr>
          <w:p>
            <w:pPr>
              <w:spacing w:before="0" w:after="0" w:line="240" w:lineRule="atLeast"/>
              <w:jc w:val="center"/>
              <w:rPr>
                <w:rFonts w:hint="eastAsia" w:ascii="宋体" w:hAnsi="宋体" w:cs="宋体"/>
                <w:b/>
                <w:bCs/>
                <w:color w:val="auto"/>
                <w:szCs w:val="21"/>
                <w:lang w:eastAsia="zh-CN"/>
              </w:rPr>
            </w:pPr>
            <w:r>
              <w:rPr>
                <w:rFonts w:hint="eastAsia" w:ascii="宋体" w:hAnsi="宋体" w:cs="宋体"/>
                <w:b/>
                <w:bCs/>
                <w:color w:val="auto"/>
                <w:szCs w:val="21"/>
                <w:lang w:eastAsia="zh-CN"/>
              </w:rPr>
              <w:t>评审说明</w:t>
            </w:r>
          </w:p>
        </w:tc>
        <w:tc>
          <w:tcPr>
            <w:tcW w:w="864" w:type="dxa"/>
            <w:gridSpan w:val="2"/>
            <w:noWrap w:val="0"/>
            <w:vAlign w:val="center"/>
          </w:tcPr>
          <w:p>
            <w:pPr>
              <w:ind w:left="16" w:leftChars="8" w:firstLine="191" w:firstLineChars="95"/>
              <w:rPr>
                <w:rFonts w:hint="eastAsia"/>
                <w:color w:val="auto"/>
                <w:lang w:eastAsia="zh-CN"/>
              </w:rPr>
            </w:pPr>
          </w:p>
        </w:tc>
        <w:tc>
          <w:tcPr>
            <w:tcW w:w="7914" w:type="dxa"/>
            <w:gridSpan w:val="4"/>
            <w:noWrap w:val="0"/>
            <w:vAlign w:val="center"/>
          </w:tcPr>
          <w:p>
            <w:pPr>
              <w:ind w:left="16" w:leftChars="8" w:firstLine="191" w:firstLineChars="95"/>
              <w:rPr>
                <w:rFonts w:hint="eastAsia"/>
                <w:color w:val="auto"/>
                <w:lang w:eastAsia="zh-CN"/>
              </w:rPr>
            </w:pPr>
            <w:r>
              <w:rPr>
                <w:rFonts w:hint="eastAsia" w:ascii="宋体" w:hAnsi="宋体" w:cs="宋体"/>
                <w:color w:val="auto"/>
                <w:lang w:eastAsia="zh-CN"/>
              </w:rPr>
              <w:t>1）各子项最高得满分，缺项得零分。</w:t>
            </w:r>
            <w:r>
              <w:rPr>
                <w:rFonts w:hint="eastAsia"/>
                <w:color w:val="auto"/>
                <w:lang w:eastAsia="zh-CN"/>
              </w:rPr>
              <w:t>供应商各项得分为评审小组打分的算术平均值</w:t>
            </w:r>
          </w:p>
          <w:p>
            <w:pPr>
              <w:ind w:left="16" w:leftChars="8" w:firstLine="191" w:firstLineChars="95"/>
              <w:rPr>
                <w:rFonts w:hint="eastAsia"/>
                <w:color w:val="auto"/>
                <w:lang w:eastAsia="zh-CN"/>
              </w:rPr>
            </w:pPr>
            <w:r>
              <w:rPr>
                <w:rFonts w:hint="eastAsia"/>
                <w:color w:val="auto"/>
                <w:lang w:eastAsia="zh-CN"/>
              </w:rPr>
              <w:t>2）资格审查及评审打分项所涉及的内容，响应文件中应当放置相应证明材料的复印件，不需提交原件</w:t>
            </w:r>
          </w:p>
        </w:tc>
      </w:tr>
    </w:tbl>
    <w:p>
      <w:pPr>
        <w:spacing w:line="360" w:lineRule="auto"/>
        <w:rPr>
          <w:rFonts w:hint="eastAsia" w:ascii="宋体" w:eastAsia="宋体" w:cs="宋体"/>
          <w:color w:val="auto"/>
          <w:kern w:val="0"/>
          <w:sz w:val="24"/>
          <w:highlight w:val="none"/>
          <w:lang w:val="en-US" w:eastAsia="zh-CN"/>
        </w:rPr>
        <w:sectPr>
          <w:footerReference r:id="rId3" w:type="default"/>
          <w:pgSz w:w="11906" w:h="16838"/>
          <w:pgMar w:top="1417" w:right="1701" w:bottom="1417" w:left="1701" w:header="851" w:footer="992" w:gutter="0"/>
          <w:pgBorders>
            <w:top w:val="none" w:sz="0" w:space="0"/>
            <w:left w:val="none" w:sz="0" w:space="0"/>
            <w:bottom w:val="none" w:sz="0" w:space="0"/>
            <w:right w:val="none" w:sz="0" w:space="0"/>
          </w:pgBorders>
          <w:pgNumType w:fmt="decimal" w:start="1"/>
          <w:cols w:space="720" w:num="1"/>
          <w:docGrid w:type="linesAndChars" w:linePitch="289" w:charSpace="-1844"/>
        </w:sectPr>
      </w:pPr>
      <w:r>
        <w:rPr>
          <w:rFonts w:hint="eastAsia" w:ascii="宋体" w:cs="宋体"/>
          <w:color w:val="auto"/>
          <w:kern w:val="0"/>
          <w:sz w:val="24"/>
          <w:highlight w:val="none"/>
          <w:lang w:val="en-US" w:eastAsia="zh-CN"/>
        </w:rPr>
        <w:t>评委签字：</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both"/>
      <w:rPr>
        <w:rStyle w:val="5"/>
        <w:rFonts w:hint="default" w:eastAsia="宋体"/>
        <w:lang w:val="en-US" w:eastAsia="zh-CN"/>
      </w:rPr>
    </w:pPr>
  </w:p>
  <w:p>
    <w:pPr>
      <w:pStyle w:val="2"/>
      <w:ind w:right="360"/>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C06958"/>
    <w:rsid w:val="75F27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ahoma" w:hAnsi="Tahoma"/>
      <w:b/>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2025-09-15T02:56:00Z</dcterms:created>
  <dc:creator>Administrator</dc:creator>
  <cp:lastModifiedBy>暖 。</cp:lastModifiedBy>
  <dcterms:modified xsi:type="dcterms:W3CDTF">2026-10-12T01:48:45Z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11511624162D4843826FF5206CB9E3B7</vt:lpwstr>
  </property>
</Properties>
</file>